
<file path=[Content_Types].xml><?xml version="1.0" encoding="utf-8"?>
<Types xmlns="http://schemas.openxmlformats.org/package/2006/content-types">
  <Override PartName="/word/theme/themeOverride4.xml" ContentType="application/vnd.openxmlformats-officedocument.themeOverride+xml"/>
  <Override PartName="/word/charts/chart10.xml" ContentType="application/vnd.openxmlformats-officedocument.drawingml.chart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theme/themeOverride6.xml" ContentType="application/vnd.openxmlformats-officedocument.themeOverride+xml"/>
  <Override PartName="/word/charts/chart12.xml" ContentType="application/vnd.openxmlformats-officedocument.drawingml.chart+xml"/>
  <Override PartName="/word/theme/themeOverride7.xml" ContentType="application/vnd.openxmlformats-officedocument.themeOverride+xml"/>
  <Override PartName="/word/charts/chart2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49" w:rsidRPr="00B55AFA" w:rsidRDefault="00E13D49" w:rsidP="00E13D49">
      <w:pPr>
        <w:jc w:val="both"/>
        <w:rPr>
          <w:sz w:val="28"/>
          <w:szCs w:val="28"/>
        </w:rPr>
      </w:pPr>
    </w:p>
    <w:p w:rsidR="00E13D49" w:rsidRPr="00B55AFA" w:rsidRDefault="00E13D49" w:rsidP="00E13D49">
      <w:pPr>
        <w:jc w:val="both"/>
        <w:rPr>
          <w:sz w:val="28"/>
          <w:szCs w:val="28"/>
        </w:rPr>
      </w:pPr>
    </w:p>
    <w:p w:rsidR="00400943" w:rsidRDefault="00400943" w:rsidP="00E13D49">
      <w:pPr>
        <w:ind w:firstLine="284"/>
        <w:jc w:val="center"/>
        <w:rPr>
          <w:b/>
          <w:sz w:val="44"/>
          <w:szCs w:val="44"/>
        </w:rPr>
      </w:pPr>
    </w:p>
    <w:p w:rsidR="00400943" w:rsidRDefault="00400943" w:rsidP="00E13D49">
      <w:pPr>
        <w:ind w:firstLine="284"/>
        <w:jc w:val="center"/>
        <w:rPr>
          <w:b/>
          <w:sz w:val="44"/>
          <w:szCs w:val="44"/>
        </w:rPr>
      </w:pPr>
    </w:p>
    <w:p w:rsidR="001175D0" w:rsidRDefault="001175D0" w:rsidP="00E13D49">
      <w:pPr>
        <w:ind w:firstLine="284"/>
        <w:jc w:val="center"/>
        <w:rPr>
          <w:b/>
          <w:sz w:val="44"/>
          <w:szCs w:val="44"/>
        </w:rPr>
      </w:pPr>
    </w:p>
    <w:p w:rsidR="001175D0" w:rsidRDefault="001175D0" w:rsidP="00E13D49">
      <w:pPr>
        <w:ind w:firstLine="284"/>
        <w:jc w:val="center"/>
        <w:rPr>
          <w:b/>
          <w:sz w:val="44"/>
          <w:szCs w:val="44"/>
        </w:rPr>
      </w:pPr>
    </w:p>
    <w:p w:rsidR="001175D0" w:rsidRDefault="001175D0" w:rsidP="00E13D49">
      <w:pPr>
        <w:ind w:firstLine="284"/>
        <w:jc w:val="center"/>
        <w:rPr>
          <w:b/>
          <w:sz w:val="44"/>
          <w:szCs w:val="44"/>
        </w:rPr>
      </w:pPr>
    </w:p>
    <w:p w:rsidR="00400943" w:rsidRDefault="00400943" w:rsidP="00E13D49">
      <w:pPr>
        <w:ind w:firstLine="284"/>
        <w:jc w:val="center"/>
        <w:rPr>
          <w:b/>
          <w:sz w:val="44"/>
          <w:szCs w:val="44"/>
        </w:rPr>
      </w:pPr>
    </w:p>
    <w:p w:rsidR="00400943" w:rsidRDefault="00400943" w:rsidP="00E13D49">
      <w:pPr>
        <w:ind w:firstLine="284"/>
        <w:jc w:val="center"/>
        <w:rPr>
          <w:b/>
          <w:sz w:val="44"/>
          <w:szCs w:val="44"/>
        </w:rPr>
      </w:pPr>
    </w:p>
    <w:p w:rsidR="00E13D49" w:rsidRDefault="00E13D49" w:rsidP="001175D0">
      <w:pPr>
        <w:spacing w:line="276" w:lineRule="auto"/>
        <w:ind w:firstLine="284"/>
        <w:jc w:val="center"/>
        <w:rPr>
          <w:b/>
          <w:sz w:val="44"/>
          <w:szCs w:val="44"/>
        </w:rPr>
      </w:pPr>
      <w:r w:rsidRPr="000B2D43">
        <w:rPr>
          <w:b/>
          <w:sz w:val="44"/>
          <w:szCs w:val="44"/>
        </w:rPr>
        <w:t>ПОЯСНИТЕЛЬНАЯ ЗАПИСКА</w:t>
      </w:r>
    </w:p>
    <w:p w:rsidR="00E13D49" w:rsidRPr="000B2D43" w:rsidRDefault="00E13D49" w:rsidP="001175D0">
      <w:pPr>
        <w:spacing w:line="276" w:lineRule="auto"/>
        <w:ind w:firstLine="284"/>
        <w:jc w:val="center"/>
        <w:rPr>
          <w:b/>
          <w:sz w:val="40"/>
          <w:szCs w:val="40"/>
        </w:rPr>
      </w:pPr>
      <w:r w:rsidRPr="000B2D43">
        <w:rPr>
          <w:b/>
          <w:sz w:val="40"/>
          <w:szCs w:val="40"/>
        </w:rPr>
        <w:t xml:space="preserve">К ПРОГНОЗУ </w:t>
      </w:r>
    </w:p>
    <w:p w:rsidR="00E13D49" w:rsidRPr="000B2D43" w:rsidRDefault="00E13D49" w:rsidP="001175D0">
      <w:pPr>
        <w:spacing w:line="276" w:lineRule="auto"/>
        <w:ind w:firstLine="284"/>
        <w:jc w:val="center"/>
        <w:rPr>
          <w:b/>
          <w:sz w:val="40"/>
          <w:szCs w:val="40"/>
        </w:rPr>
      </w:pPr>
      <w:r w:rsidRPr="000B2D43">
        <w:rPr>
          <w:b/>
          <w:sz w:val="40"/>
          <w:szCs w:val="40"/>
        </w:rPr>
        <w:t>СОЦИАЛЬНО-ЭКОНОМИЧЕСКОГО РАЗВИТИЯ СЕВЕРО-ЕНИСЕЙСКОГО РАЙОНА</w:t>
      </w:r>
    </w:p>
    <w:p w:rsidR="001175D0" w:rsidRDefault="00E13D49" w:rsidP="001175D0">
      <w:pPr>
        <w:spacing w:line="276" w:lineRule="auto"/>
        <w:ind w:firstLine="284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на 202</w:t>
      </w:r>
      <w:r w:rsidR="001175D0">
        <w:rPr>
          <w:b/>
          <w:sz w:val="44"/>
          <w:szCs w:val="44"/>
        </w:rPr>
        <w:t xml:space="preserve">3 год и плановый период </w:t>
      </w:r>
    </w:p>
    <w:p w:rsidR="00E13D49" w:rsidRDefault="001175D0" w:rsidP="001175D0">
      <w:pPr>
        <w:spacing w:line="276" w:lineRule="auto"/>
        <w:ind w:firstLine="284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2024</w:t>
      </w:r>
      <w:r w:rsidR="00E13D49" w:rsidRPr="00F04AF4">
        <w:rPr>
          <w:b/>
          <w:sz w:val="44"/>
          <w:szCs w:val="44"/>
        </w:rPr>
        <w:t>-202</w:t>
      </w:r>
      <w:r w:rsidR="00E13D49">
        <w:rPr>
          <w:b/>
          <w:sz w:val="44"/>
          <w:szCs w:val="44"/>
        </w:rPr>
        <w:t>5</w:t>
      </w:r>
      <w:r>
        <w:rPr>
          <w:b/>
          <w:sz w:val="44"/>
          <w:szCs w:val="44"/>
        </w:rPr>
        <w:t xml:space="preserve"> годов</w:t>
      </w:r>
    </w:p>
    <w:p w:rsidR="00E13D49" w:rsidRDefault="00E13D49" w:rsidP="00E13D49">
      <w:pPr>
        <w:ind w:firstLine="284"/>
        <w:jc w:val="center"/>
        <w:rPr>
          <w:b/>
          <w:sz w:val="44"/>
          <w:szCs w:val="44"/>
        </w:rPr>
      </w:pPr>
    </w:p>
    <w:p w:rsidR="00E13D49" w:rsidRDefault="00E13D49" w:rsidP="00E13D49">
      <w:pPr>
        <w:ind w:firstLine="284"/>
        <w:jc w:val="center"/>
        <w:rPr>
          <w:b/>
          <w:sz w:val="44"/>
          <w:szCs w:val="44"/>
        </w:rPr>
        <w:sectPr w:rsidR="00E13D49" w:rsidSect="007179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3D49" w:rsidRPr="00280DBB" w:rsidRDefault="00E13D49" w:rsidP="00E13D49">
      <w:pPr>
        <w:pStyle w:val="1"/>
        <w:rPr>
          <w:sz w:val="28"/>
          <w:szCs w:val="28"/>
        </w:rPr>
      </w:pPr>
      <w:bookmarkStart w:id="0" w:name="_Toc49869681"/>
      <w:r w:rsidRPr="00280DBB">
        <w:rPr>
          <w:sz w:val="28"/>
          <w:szCs w:val="28"/>
        </w:rPr>
        <w:lastRenderedPageBreak/>
        <w:t>Демографическая ситуация</w:t>
      </w:r>
      <w:bookmarkEnd w:id="0"/>
    </w:p>
    <w:p w:rsidR="00E13D49" w:rsidRPr="003E4301" w:rsidRDefault="00E13D49" w:rsidP="00E13D49">
      <w:pPr>
        <w:ind w:firstLine="709"/>
        <w:jc w:val="both"/>
        <w:rPr>
          <w:sz w:val="28"/>
          <w:szCs w:val="28"/>
        </w:rPr>
      </w:pP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 данным Красноярскстата постоянное население Северо-Енисейского района на начало 2022 года составило </w:t>
      </w:r>
      <w:r w:rsidRPr="00280DBB">
        <w:rPr>
          <w:b/>
          <w:sz w:val="26"/>
          <w:szCs w:val="26"/>
          <w:u w:val="single"/>
        </w:rPr>
        <w:t>9 665</w:t>
      </w:r>
      <w:r w:rsidRPr="00280DBB">
        <w:rPr>
          <w:b/>
          <w:sz w:val="26"/>
          <w:szCs w:val="26"/>
        </w:rPr>
        <w:t xml:space="preserve"> человек</w:t>
      </w:r>
      <w:r w:rsidRPr="00280DBB">
        <w:rPr>
          <w:sz w:val="26"/>
          <w:szCs w:val="26"/>
        </w:rPr>
        <w:t xml:space="preserve">. 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Среднегодовая численность постоянного населения Северо-Енисейского района за 2021 год составила </w:t>
      </w:r>
      <w:r w:rsidRPr="00280DBB">
        <w:rPr>
          <w:b/>
          <w:sz w:val="26"/>
          <w:szCs w:val="26"/>
        </w:rPr>
        <w:t>9 89</w:t>
      </w:r>
      <w:r w:rsidR="00400943">
        <w:rPr>
          <w:b/>
          <w:sz w:val="26"/>
          <w:szCs w:val="26"/>
        </w:rPr>
        <w:t>2</w:t>
      </w:r>
      <w:r w:rsidRPr="00280DBB">
        <w:rPr>
          <w:b/>
          <w:sz w:val="26"/>
          <w:szCs w:val="26"/>
        </w:rPr>
        <w:t xml:space="preserve"> человек</w:t>
      </w:r>
      <w:r w:rsidR="00400943">
        <w:rPr>
          <w:b/>
          <w:sz w:val="26"/>
          <w:szCs w:val="26"/>
        </w:rPr>
        <w:t>а</w:t>
      </w:r>
      <w:r w:rsidRPr="00280DBB">
        <w:rPr>
          <w:sz w:val="26"/>
          <w:szCs w:val="26"/>
        </w:rPr>
        <w:t>.</w:t>
      </w:r>
    </w:p>
    <w:p w:rsidR="00E13D49" w:rsidRPr="00280DBB" w:rsidRDefault="00E13D49" w:rsidP="00E13D49">
      <w:pPr>
        <w:tabs>
          <w:tab w:val="left" w:pos="0"/>
          <w:tab w:val="left" w:pos="1260"/>
          <w:tab w:val="left" w:pos="1740"/>
        </w:tabs>
        <w:suppressAutoHyphens/>
        <w:ind w:firstLine="709"/>
        <w:jc w:val="both"/>
        <w:rPr>
          <w:color w:val="000000"/>
          <w:sz w:val="26"/>
          <w:szCs w:val="26"/>
        </w:rPr>
      </w:pPr>
      <w:r w:rsidRPr="00280DBB">
        <w:rPr>
          <w:color w:val="000000"/>
          <w:sz w:val="26"/>
          <w:szCs w:val="26"/>
        </w:rPr>
        <w:t>Динамика численности постоянного населения (среднегодовая) представлена на рисунке 1.</w:t>
      </w:r>
    </w:p>
    <w:p w:rsidR="00E13D49" w:rsidRPr="003E4301" w:rsidRDefault="00E13D49" w:rsidP="00E13D49">
      <w:pPr>
        <w:tabs>
          <w:tab w:val="left" w:pos="0"/>
          <w:tab w:val="left" w:pos="1260"/>
          <w:tab w:val="left" w:pos="1740"/>
        </w:tabs>
        <w:suppressAutoHyphens/>
        <w:ind w:firstLine="709"/>
        <w:jc w:val="both"/>
        <w:rPr>
          <w:color w:val="000000"/>
          <w:sz w:val="28"/>
          <w:szCs w:val="28"/>
        </w:rPr>
      </w:pPr>
    </w:p>
    <w:p w:rsidR="00E13D49" w:rsidRPr="00EE2B0B" w:rsidRDefault="00E13D49" w:rsidP="00E13D49">
      <w:pPr>
        <w:tabs>
          <w:tab w:val="left" w:pos="0"/>
          <w:tab w:val="left" w:pos="1260"/>
          <w:tab w:val="left" w:pos="1740"/>
        </w:tabs>
        <w:suppressAutoHyphens/>
        <w:jc w:val="center"/>
        <w:rPr>
          <w:color w:val="FF0000"/>
          <w:sz w:val="28"/>
          <w:szCs w:val="28"/>
        </w:rPr>
      </w:pPr>
      <w:r w:rsidRPr="00EE2B0B">
        <w:rPr>
          <w:noProof/>
          <w:color w:val="FF0000"/>
          <w:sz w:val="28"/>
          <w:szCs w:val="28"/>
        </w:rPr>
        <w:drawing>
          <wp:inline distT="0" distB="0" distL="0" distR="0">
            <wp:extent cx="5810250" cy="1914525"/>
            <wp:effectExtent l="19050" t="0" r="19050" b="0"/>
            <wp:docPr id="37" name="Объект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13D49" w:rsidRPr="00EE2B0B" w:rsidRDefault="00E13D49" w:rsidP="00E13D49">
      <w:pPr>
        <w:jc w:val="center"/>
        <w:rPr>
          <w:b/>
        </w:rPr>
      </w:pPr>
      <w:r w:rsidRPr="00EE2B0B">
        <w:rPr>
          <w:b/>
        </w:rPr>
        <w:t xml:space="preserve">Рис. </w:t>
      </w:r>
      <w:r>
        <w:rPr>
          <w:b/>
        </w:rPr>
        <w:t>1</w:t>
      </w:r>
      <w:r w:rsidRPr="00EE2B0B">
        <w:rPr>
          <w:b/>
        </w:rPr>
        <w:t>. Численность постоянного населения (среднегодовая), чел.</w:t>
      </w:r>
    </w:p>
    <w:p w:rsidR="00E13D49" w:rsidRPr="000163EA" w:rsidRDefault="00E13D49" w:rsidP="00E13D49">
      <w:pPr>
        <w:ind w:firstLine="708"/>
        <w:jc w:val="both"/>
        <w:rPr>
          <w:sz w:val="28"/>
          <w:szCs w:val="28"/>
          <w:highlight w:val="yellow"/>
        </w:rPr>
      </w:pPr>
    </w:p>
    <w:p w:rsidR="00E13D49" w:rsidRPr="00280DBB" w:rsidRDefault="00E13D49" w:rsidP="00E13D49">
      <w:pPr>
        <w:ind w:firstLine="708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В среднесрочной перспективе ожидается снижение численности постоянного населения за счет миграционного оттока.</w:t>
      </w:r>
    </w:p>
    <w:p w:rsidR="00E13D49" w:rsidRPr="00280DBB" w:rsidRDefault="00E13D49" w:rsidP="00E13D49">
      <w:pPr>
        <w:ind w:firstLine="708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Таким образом, среднегодовая численность постоянного населения по оценке 2022 года </w:t>
      </w:r>
      <w:proofErr w:type="gramStart"/>
      <w:r w:rsidRPr="00280DBB">
        <w:rPr>
          <w:sz w:val="26"/>
          <w:szCs w:val="26"/>
        </w:rPr>
        <w:t>снизится и составит</w:t>
      </w:r>
      <w:proofErr w:type="gramEnd"/>
      <w:r w:rsidRPr="00280DBB">
        <w:rPr>
          <w:sz w:val="26"/>
          <w:szCs w:val="26"/>
        </w:rPr>
        <w:t xml:space="preserve"> </w:t>
      </w:r>
      <w:r w:rsidRPr="00280DBB">
        <w:rPr>
          <w:b/>
          <w:sz w:val="26"/>
          <w:szCs w:val="26"/>
        </w:rPr>
        <w:t>9 659</w:t>
      </w:r>
      <w:r w:rsidRPr="00280DBB">
        <w:rPr>
          <w:sz w:val="26"/>
          <w:szCs w:val="26"/>
        </w:rPr>
        <w:t xml:space="preserve"> чел., а в прогнозируемом периоде: 2023 г. – </w:t>
      </w:r>
      <w:r w:rsidRPr="00280DBB">
        <w:rPr>
          <w:b/>
          <w:sz w:val="26"/>
          <w:szCs w:val="26"/>
        </w:rPr>
        <w:t>9 647</w:t>
      </w:r>
      <w:r w:rsidRPr="00280DBB">
        <w:rPr>
          <w:sz w:val="26"/>
          <w:szCs w:val="26"/>
        </w:rPr>
        <w:t xml:space="preserve"> чел., в 2024 г. – </w:t>
      </w:r>
      <w:r w:rsidRPr="00280DBB">
        <w:rPr>
          <w:b/>
          <w:sz w:val="26"/>
          <w:szCs w:val="26"/>
        </w:rPr>
        <w:t>9 632</w:t>
      </w:r>
      <w:r w:rsidRPr="00280DBB">
        <w:rPr>
          <w:sz w:val="26"/>
          <w:szCs w:val="26"/>
        </w:rPr>
        <w:t xml:space="preserve"> чел. и  в 2025 г. – </w:t>
      </w:r>
      <w:r w:rsidRPr="00280DBB">
        <w:rPr>
          <w:b/>
          <w:sz w:val="26"/>
          <w:szCs w:val="26"/>
        </w:rPr>
        <w:t>9 616</w:t>
      </w:r>
      <w:r w:rsidRPr="00280DBB">
        <w:rPr>
          <w:sz w:val="26"/>
          <w:szCs w:val="26"/>
        </w:rPr>
        <w:t xml:space="preserve"> чел.</w:t>
      </w:r>
    </w:p>
    <w:p w:rsidR="00E13D49" w:rsidRPr="00EE2B0B" w:rsidRDefault="00E13D49" w:rsidP="00E13D49">
      <w:pPr>
        <w:ind w:firstLine="708"/>
        <w:jc w:val="both"/>
        <w:rPr>
          <w:sz w:val="28"/>
          <w:szCs w:val="28"/>
        </w:rPr>
      </w:pPr>
      <w:r w:rsidRPr="00280DBB">
        <w:rPr>
          <w:sz w:val="26"/>
          <w:szCs w:val="26"/>
        </w:rPr>
        <w:t xml:space="preserve">Показатели демографического положения в Северо-Енисейском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Pr="00280DBB">
        <w:rPr>
          <w:sz w:val="26"/>
          <w:szCs w:val="26"/>
        </w:rPr>
        <w:t xml:space="preserve"> представлены в таблице 1:</w:t>
      </w:r>
    </w:p>
    <w:p w:rsidR="00E13D49" w:rsidRPr="00280DBB" w:rsidRDefault="00E13D49" w:rsidP="00E13D49">
      <w:pPr>
        <w:ind w:firstLine="567"/>
        <w:jc w:val="right"/>
        <w:rPr>
          <w:sz w:val="26"/>
          <w:szCs w:val="26"/>
        </w:rPr>
      </w:pPr>
      <w:r w:rsidRPr="00280DBB">
        <w:rPr>
          <w:sz w:val="26"/>
          <w:szCs w:val="26"/>
        </w:rPr>
        <w:t>Таблица 1</w:t>
      </w:r>
    </w:p>
    <w:tbl>
      <w:tblPr>
        <w:tblW w:w="4772" w:type="pct"/>
        <w:jc w:val="center"/>
        <w:tblInd w:w="-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7"/>
        <w:gridCol w:w="1176"/>
        <w:gridCol w:w="850"/>
        <w:gridCol w:w="937"/>
        <w:gridCol w:w="956"/>
        <w:gridCol w:w="987"/>
        <w:gridCol w:w="987"/>
        <w:gridCol w:w="985"/>
      </w:tblGrid>
      <w:tr w:rsidR="00E13D49" w:rsidRPr="00E13D49" w:rsidTr="00280DBB">
        <w:trPr>
          <w:trHeight w:val="840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2020 Отчет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2021 Отчет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2022 Оценка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2023 Прогноз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2024 Прогноз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 w:rsidRPr="00E13D49">
              <w:rPr>
                <w:b/>
                <w:bCs/>
                <w:sz w:val="20"/>
                <w:szCs w:val="20"/>
              </w:rPr>
              <w:t>2025 Прогноз</w:t>
            </w:r>
          </w:p>
        </w:tc>
      </w:tr>
      <w:tr w:rsidR="00E13D49" w:rsidRPr="00E13D49" w:rsidTr="00280DBB">
        <w:trPr>
          <w:trHeight w:val="805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Численность постоянного населения (среднегодовая)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10 131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9 89</w:t>
            </w:r>
            <w:r w:rsidR="0040094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9 659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9 647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9 632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9 616</w:t>
            </w:r>
          </w:p>
        </w:tc>
      </w:tr>
      <w:tr w:rsidR="00E13D49" w:rsidRPr="00E13D49" w:rsidTr="00280DBB">
        <w:trPr>
          <w:trHeight w:val="702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Численность постоянного населения (на начало года)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10 142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10 119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9 665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9 653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9 640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9 624</w:t>
            </w:r>
          </w:p>
        </w:tc>
      </w:tr>
      <w:tr w:rsidR="00E13D49" w:rsidRPr="00E13D49" w:rsidTr="00280DBB">
        <w:trPr>
          <w:trHeight w:val="557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E13D49">
              <w:rPr>
                <w:sz w:val="20"/>
                <w:szCs w:val="20"/>
              </w:rPr>
              <w:t>родившихся</w:t>
            </w:r>
            <w:proofErr w:type="gramEnd"/>
            <w:r w:rsidRPr="00E13D49">
              <w:rPr>
                <w:sz w:val="20"/>
                <w:szCs w:val="20"/>
              </w:rPr>
              <w:t xml:space="preserve"> за период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90</w:t>
            </w:r>
          </w:p>
        </w:tc>
      </w:tr>
      <w:tr w:rsidR="00E13D49" w:rsidRPr="00E13D49" w:rsidTr="00280DBB">
        <w:trPr>
          <w:trHeight w:val="551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E13D49">
              <w:rPr>
                <w:sz w:val="20"/>
                <w:szCs w:val="20"/>
              </w:rPr>
              <w:t>умерших</w:t>
            </w:r>
            <w:proofErr w:type="gramEnd"/>
            <w:r w:rsidRPr="00E13D49">
              <w:rPr>
                <w:sz w:val="20"/>
                <w:szCs w:val="20"/>
              </w:rPr>
              <w:t xml:space="preserve"> за период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123</w:t>
            </w:r>
          </w:p>
        </w:tc>
      </w:tr>
      <w:tr w:rsidR="00E13D49" w:rsidRPr="00E13D49" w:rsidTr="00280DBB">
        <w:trPr>
          <w:trHeight w:val="832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Естественный прирост</w:t>
            </w:r>
            <w:proofErr w:type="gramStart"/>
            <w:r w:rsidRPr="00E13D49">
              <w:rPr>
                <w:sz w:val="20"/>
                <w:szCs w:val="20"/>
              </w:rPr>
              <w:t xml:space="preserve"> (+), </w:t>
            </w:r>
            <w:proofErr w:type="gramEnd"/>
            <w:r w:rsidRPr="00E13D49">
              <w:rPr>
                <w:sz w:val="20"/>
                <w:szCs w:val="20"/>
              </w:rPr>
              <w:t>убыль (-) населения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-18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-48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-23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-26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-31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-33</w:t>
            </w:r>
          </w:p>
        </w:tc>
      </w:tr>
      <w:tr w:rsidR="00E13D49" w:rsidRPr="00E13D49" w:rsidTr="00280DBB">
        <w:trPr>
          <w:trHeight w:val="698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Численность прибывшего за год населения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585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389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394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401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415</w:t>
            </w:r>
          </w:p>
        </w:tc>
      </w:tr>
      <w:tr w:rsidR="00E13D49" w:rsidRPr="00E13D49" w:rsidTr="00280DBB">
        <w:trPr>
          <w:trHeight w:val="702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Численность выбывшего за год населения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589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783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378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381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398</w:t>
            </w:r>
          </w:p>
        </w:tc>
      </w:tr>
      <w:tr w:rsidR="00E13D49" w:rsidRPr="00E13D49" w:rsidTr="00280DBB">
        <w:trPr>
          <w:trHeight w:val="845"/>
          <w:jc w:val="center"/>
        </w:trPr>
        <w:tc>
          <w:tcPr>
            <w:tcW w:w="1236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Миграционный прирост (снижение) населения</w:t>
            </w:r>
          </w:p>
        </w:tc>
        <w:tc>
          <w:tcPr>
            <w:tcW w:w="644" w:type="pct"/>
            <w:vAlign w:val="center"/>
            <w:hideMark/>
          </w:tcPr>
          <w:p w:rsidR="00E13D49" w:rsidRPr="00E13D49" w:rsidRDefault="00E13D49" w:rsidP="00C175F4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  <w:r w:rsidRPr="00E13D49">
              <w:rPr>
                <w:sz w:val="20"/>
                <w:szCs w:val="20"/>
              </w:rPr>
              <w:t>чел.</w:t>
            </w:r>
          </w:p>
        </w:tc>
        <w:tc>
          <w:tcPr>
            <w:tcW w:w="465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-4</w:t>
            </w:r>
          </w:p>
        </w:tc>
        <w:tc>
          <w:tcPr>
            <w:tcW w:w="51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-406</w:t>
            </w:r>
          </w:p>
        </w:tc>
        <w:tc>
          <w:tcPr>
            <w:tcW w:w="523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0" w:type="pct"/>
            <w:vAlign w:val="center"/>
            <w:hideMark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40" w:type="pct"/>
            <w:vAlign w:val="center"/>
          </w:tcPr>
          <w:p w:rsidR="00E13D49" w:rsidRPr="00E13D49" w:rsidRDefault="00E13D49" w:rsidP="00C175F4">
            <w:pPr>
              <w:jc w:val="center"/>
              <w:rPr>
                <w:color w:val="000000"/>
                <w:sz w:val="20"/>
                <w:szCs w:val="20"/>
              </w:rPr>
            </w:pPr>
            <w:r w:rsidRPr="00E13D49">
              <w:rPr>
                <w:color w:val="000000"/>
                <w:sz w:val="20"/>
                <w:szCs w:val="20"/>
              </w:rPr>
              <w:t>17</w:t>
            </w:r>
          </w:p>
        </w:tc>
      </w:tr>
    </w:tbl>
    <w:p w:rsidR="00E13D49" w:rsidRPr="00280DBB" w:rsidRDefault="00E13D49" w:rsidP="00E13D49">
      <w:pPr>
        <w:autoSpaceDE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lastRenderedPageBreak/>
        <w:t>В 2021 году наблюдается снижение среднегодовой численности населения, это связано со значительным миграционным оттоком постоянного населения района.</w:t>
      </w:r>
    </w:p>
    <w:p w:rsidR="00E13D49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количества </w:t>
      </w:r>
      <w:proofErr w:type="gramStart"/>
      <w:r w:rsidRPr="00280DBB">
        <w:rPr>
          <w:sz w:val="26"/>
          <w:szCs w:val="26"/>
        </w:rPr>
        <w:t>родившихся</w:t>
      </w:r>
      <w:proofErr w:type="gramEnd"/>
      <w:r w:rsidRPr="00280DBB">
        <w:rPr>
          <w:sz w:val="26"/>
          <w:szCs w:val="26"/>
        </w:rPr>
        <w:t xml:space="preserve"> и умерших представлена на рисунке </w:t>
      </w:r>
      <w:r w:rsidR="00280DBB">
        <w:rPr>
          <w:sz w:val="26"/>
          <w:szCs w:val="26"/>
        </w:rPr>
        <w:t>2</w:t>
      </w:r>
      <w:r w:rsidRPr="00280DBB">
        <w:rPr>
          <w:sz w:val="26"/>
          <w:szCs w:val="26"/>
        </w:rPr>
        <w:t>:</w:t>
      </w:r>
    </w:p>
    <w:p w:rsidR="00E642C3" w:rsidRPr="00280DBB" w:rsidRDefault="00E642C3" w:rsidP="00E13D49">
      <w:pPr>
        <w:ind w:firstLine="709"/>
        <w:jc w:val="both"/>
        <w:rPr>
          <w:sz w:val="26"/>
          <w:szCs w:val="26"/>
        </w:rPr>
      </w:pPr>
    </w:p>
    <w:p w:rsidR="00E13D49" w:rsidRPr="00B22FC4" w:rsidRDefault="00E13D49" w:rsidP="00E13D49">
      <w:pPr>
        <w:jc w:val="center"/>
        <w:rPr>
          <w:b/>
        </w:rPr>
      </w:pPr>
      <w:r w:rsidRPr="00B22FC4">
        <w:rPr>
          <w:b/>
          <w:noProof/>
        </w:rPr>
        <w:drawing>
          <wp:inline distT="0" distB="0" distL="0" distR="0">
            <wp:extent cx="6104890" cy="2286000"/>
            <wp:effectExtent l="19050" t="0" r="10160" b="0"/>
            <wp:docPr id="38" name="Объект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3D49" w:rsidRPr="00B22FC4" w:rsidRDefault="00E13D49" w:rsidP="00E13D49">
      <w:pPr>
        <w:jc w:val="center"/>
        <w:rPr>
          <w:b/>
        </w:rPr>
      </w:pPr>
      <w:r w:rsidRPr="00B22FC4">
        <w:rPr>
          <w:b/>
        </w:rPr>
        <w:t>Рис.</w:t>
      </w:r>
      <w:r w:rsidR="00280DBB">
        <w:rPr>
          <w:b/>
        </w:rPr>
        <w:t>2</w:t>
      </w:r>
      <w:r w:rsidRPr="00B22FC4">
        <w:rPr>
          <w:b/>
        </w:rPr>
        <w:t>. Динамика количества родившихся и умерших, чел.</w:t>
      </w:r>
    </w:p>
    <w:p w:rsidR="00E13D49" w:rsidRDefault="00E13D49" w:rsidP="00E13D49">
      <w:pPr>
        <w:pStyle w:val="a5"/>
        <w:spacing w:after="0"/>
        <w:ind w:firstLine="709"/>
        <w:jc w:val="both"/>
        <w:rPr>
          <w:sz w:val="28"/>
          <w:szCs w:val="28"/>
        </w:rPr>
      </w:pPr>
    </w:p>
    <w:p w:rsidR="00E13D49" w:rsidRPr="00280DBB" w:rsidRDefault="00E13D49" w:rsidP="00E13D49">
      <w:pPr>
        <w:pStyle w:val="a5"/>
        <w:spacing w:after="0"/>
        <w:ind w:firstLine="709"/>
        <w:jc w:val="both"/>
        <w:rPr>
          <w:color w:val="000000"/>
          <w:sz w:val="26"/>
          <w:szCs w:val="26"/>
        </w:rPr>
      </w:pPr>
      <w:r w:rsidRPr="00280DBB">
        <w:rPr>
          <w:sz w:val="26"/>
          <w:szCs w:val="26"/>
        </w:rPr>
        <w:t>Начиная с 2007 года по 2010 год, наблюдался рост рождаемости, потом с 2011 по 2013 годы количество рожденных детей в Северо-Енисейском районе постепенно начало снижаться, с 2014 года по 2020 год  наблюдается положительная динамика.</w:t>
      </w:r>
      <w:r w:rsidRPr="00280DBB">
        <w:rPr>
          <w:color w:val="000000"/>
          <w:sz w:val="26"/>
          <w:szCs w:val="26"/>
        </w:rPr>
        <w:t xml:space="preserve"> </w:t>
      </w:r>
    </w:p>
    <w:p w:rsidR="00E13D49" w:rsidRPr="00280DBB" w:rsidRDefault="00E13D49" w:rsidP="00E13D49">
      <w:pPr>
        <w:pStyle w:val="a5"/>
        <w:spacing w:after="0"/>
        <w:ind w:firstLine="709"/>
        <w:jc w:val="both"/>
        <w:rPr>
          <w:color w:val="000000"/>
          <w:sz w:val="26"/>
          <w:szCs w:val="26"/>
        </w:rPr>
      </w:pPr>
      <w:r w:rsidRPr="00280DBB">
        <w:rPr>
          <w:color w:val="000000"/>
          <w:sz w:val="26"/>
          <w:szCs w:val="26"/>
        </w:rPr>
        <w:t xml:space="preserve">За 2021 год естественная </w:t>
      </w:r>
      <w:r w:rsidRPr="00280DBB">
        <w:rPr>
          <w:color w:val="000000"/>
          <w:sz w:val="26"/>
          <w:szCs w:val="26"/>
          <w:u w:val="single"/>
        </w:rPr>
        <w:t xml:space="preserve">убыль населения района составила </w:t>
      </w:r>
      <w:r w:rsidRPr="00280DBB">
        <w:rPr>
          <w:b/>
          <w:color w:val="000000"/>
          <w:sz w:val="26"/>
          <w:szCs w:val="26"/>
          <w:u w:val="single"/>
        </w:rPr>
        <w:t>48 человек.</w:t>
      </w:r>
      <w:r w:rsidRPr="00280DBB">
        <w:rPr>
          <w:color w:val="000000"/>
          <w:sz w:val="26"/>
          <w:szCs w:val="26"/>
        </w:rPr>
        <w:t xml:space="preserve"> </w:t>
      </w:r>
    </w:p>
    <w:p w:rsidR="00E13D49" w:rsidRPr="00280DBB" w:rsidRDefault="00E13D49" w:rsidP="00E13D49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настоящее время в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Pr="00280DBB">
        <w:rPr>
          <w:sz w:val="26"/>
          <w:szCs w:val="26"/>
        </w:rPr>
        <w:t xml:space="preserve"> фактически проживает более 20 тыс. человек, из них постоянно проживающего населения на 01.01.2021 по статистическим данным Красноярскстата – </w:t>
      </w:r>
      <w:r w:rsidRPr="00280DBB">
        <w:rPr>
          <w:b/>
          <w:sz w:val="26"/>
          <w:szCs w:val="26"/>
        </w:rPr>
        <w:t xml:space="preserve">9 665 </w:t>
      </w:r>
      <w:r w:rsidRPr="00280DBB">
        <w:rPr>
          <w:sz w:val="26"/>
          <w:szCs w:val="26"/>
        </w:rPr>
        <w:t>человек.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Кроме того, часть населения, в силу сложившихся традиций, проживают в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Pr="00280DBB">
        <w:rPr>
          <w:sz w:val="26"/>
          <w:szCs w:val="26"/>
        </w:rPr>
        <w:t xml:space="preserve">, а постоянную прописку имеют на «материке», что является особенностью проживания в районах Крайнего Севера (это своеобразный «тыл», учеба детей за пределами района и т.д.). </w:t>
      </w:r>
    </w:p>
    <w:p w:rsidR="00E13D49" w:rsidRPr="00280DBB" w:rsidRDefault="00E642C3" w:rsidP="00E13D4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Данная</w:t>
      </w:r>
      <w:r w:rsidR="00E13D49" w:rsidRPr="00280DBB">
        <w:rPr>
          <w:sz w:val="26"/>
          <w:szCs w:val="26"/>
        </w:rPr>
        <w:t xml:space="preserve"> категория населения составляет порядка </w:t>
      </w:r>
      <w:r w:rsidR="00E13D49" w:rsidRPr="00280DBB">
        <w:rPr>
          <w:sz w:val="26"/>
          <w:szCs w:val="26"/>
          <w:u w:val="single"/>
        </w:rPr>
        <w:t>2 000</w:t>
      </w:r>
      <w:r w:rsidR="00E13D49" w:rsidRPr="00280DBB">
        <w:rPr>
          <w:sz w:val="26"/>
          <w:szCs w:val="26"/>
        </w:rPr>
        <w:t xml:space="preserve"> человек и </w:t>
      </w:r>
      <w:r w:rsidR="00E13D49" w:rsidRPr="00280DBB">
        <w:rPr>
          <w:sz w:val="26"/>
          <w:szCs w:val="26"/>
          <w:u w:val="single"/>
        </w:rPr>
        <w:t xml:space="preserve">не входит в статистическую численность постоянного населения </w:t>
      </w:r>
      <w:r w:rsidR="00E13D49" w:rsidRPr="00280DBB">
        <w:rPr>
          <w:sz w:val="26"/>
          <w:szCs w:val="26"/>
        </w:rPr>
        <w:t xml:space="preserve">района. 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Также, не входит в данный показатель и численность работников, работающих вахтовым методом на золотодобывающих предприятиях ООО «Соврудник», ООО АС «Прииск Дражный», АО «Полюс Красноярск», АО «Полюс Логистика», АО «Полюс Строй», а это еще порядка </w:t>
      </w:r>
      <w:r w:rsidRPr="00280DBB">
        <w:rPr>
          <w:sz w:val="26"/>
          <w:szCs w:val="26"/>
          <w:u w:val="single"/>
        </w:rPr>
        <w:t>7 тыс</w:t>
      </w:r>
      <w:r w:rsidRPr="00280DBB">
        <w:rPr>
          <w:sz w:val="26"/>
          <w:szCs w:val="26"/>
        </w:rPr>
        <w:t>. человек.</w:t>
      </w:r>
    </w:p>
    <w:p w:rsidR="00280DBB" w:rsidRPr="00280DBB" w:rsidRDefault="00280DBB" w:rsidP="00280DBB">
      <w:pPr>
        <w:pStyle w:val="a"/>
        <w:numPr>
          <w:ilvl w:val="0"/>
          <w:numId w:val="0"/>
        </w:numPr>
        <w:ind w:left="709"/>
        <w:rPr>
          <w:b w:val="0"/>
          <w:sz w:val="26"/>
          <w:szCs w:val="26"/>
          <w:u w:val="none"/>
        </w:rPr>
      </w:pPr>
    </w:p>
    <w:p w:rsidR="00E13D49" w:rsidRPr="00280DBB" w:rsidRDefault="00E13D49" w:rsidP="00E13D49">
      <w:pPr>
        <w:pStyle w:val="1"/>
        <w:rPr>
          <w:sz w:val="28"/>
          <w:szCs w:val="28"/>
        </w:rPr>
      </w:pPr>
      <w:bookmarkStart w:id="1" w:name="_Toc361390369"/>
      <w:bookmarkStart w:id="2" w:name="_Toc49869680"/>
      <w:r w:rsidRPr="00280DBB">
        <w:rPr>
          <w:sz w:val="28"/>
          <w:szCs w:val="28"/>
        </w:rPr>
        <w:t>Рынок труда</w:t>
      </w:r>
      <w:bookmarkEnd w:id="1"/>
      <w:bookmarkEnd w:id="2"/>
    </w:p>
    <w:p w:rsidR="00E13D49" w:rsidRPr="00677E27" w:rsidRDefault="00E13D49" w:rsidP="00E13D49">
      <w:pPr>
        <w:ind w:firstLine="709"/>
        <w:jc w:val="both"/>
        <w:rPr>
          <w:sz w:val="36"/>
          <w:szCs w:val="36"/>
        </w:rPr>
      </w:pP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Развитие промышленного производства в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Pr="00280DBB">
        <w:rPr>
          <w:sz w:val="26"/>
          <w:szCs w:val="26"/>
        </w:rPr>
        <w:t xml:space="preserve"> оказывает положительное влияние на рост числа занятых в экономике и на снижение численности безработных.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По данным статистики среднесписочная численность работников организаций и учреждений Северо-Енисейского района за 2021 год составила 15,556 тыс. чел., аналогичный показатель 2020 года составил 14,</w:t>
      </w:r>
      <w:r w:rsidR="00400943">
        <w:rPr>
          <w:sz w:val="26"/>
          <w:szCs w:val="26"/>
        </w:rPr>
        <w:t>545</w:t>
      </w:r>
      <w:r w:rsidRPr="00280DBB">
        <w:rPr>
          <w:sz w:val="26"/>
          <w:szCs w:val="26"/>
        </w:rPr>
        <w:t xml:space="preserve"> тыс. чел. 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</w:p>
    <w:p w:rsidR="00E642C3" w:rsidRDefault="00E642C3" w:rsidP="00E13D49">
      <w:pPr>
        <w:ind w:firstLine="709"/>
        <w:jc w:val="both"/>
        <w:rPr>
          <w:sz w:val="26"/>
          <w:szCs w:val="26"/>
        </w:rPr>
      </w:pPr>
    </w:p>
    <w:p w:rsidR="00E642C3" w:rsidRDefault="00E642C3" w:rsidP="00E13D49">
      <w:pPr>
        <w:ind w:firstLine="709"/>
        <w:jc w:val="both"/>
        <w:rPr>
          <w:sz w:val="26"/>
          <w:szCs w:val="26"/>
        </w:rPr>
      </w:pP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lastRenderedPageBreak/>
        <w:t xml:space="preserve">Динамика среднесписочной численности работников организаций представлена на рисунке </w:t>
      </w:r>
      <w:r w:rsidR="00540D77">
        <w:rPr>
          <w:sz w:val="26"/>
          <w:szCs w:val="26"/>
        </w:rPr>
        <w:t>3</w:t>
      </w:r>
      <w:r w:rsidRPr="00280DBB">
        <w:rPr>
          <w:sz w:val="26"/>
          <w:szCs w:val="26"/>
        </w:rPr>
        <w:t>:</w:t>
      </w:r>
    </w:p>
    <w:p w:rsidR="00E13D49" w:rsidRPr="00677E27" w:rsidRDefault="00E13D49" w:rsidP="00E13D49">
      <w:pPr>
        <w:ind w:firstLine="709"/>
        <w:jc w:val="both"/>
        <w:rPr>
          <w:sz w:val="28"/>
          <w:szCs w:val="28"/>
        </w:rPr>
      </w:pPr>
    </w:p>
    <w:p w:rsidR="00E13D49" w:rsidRPr="00677E27" w:rsidRDefault="00E13D49" w:rsidP="00E13D49">
      <w:pPr>
        <w:jc w:val="center"/>
        <w:rPr>
          <w:sz w:val="28"/>
          <w:szCs w:val="28"/>
        </w:rPr>
      </w:pPr>
      <w:r w:rsidRPr="00677E27">
        <w:rPr>
          <w:noProof/>
          <w:sz w:val="28"/>
          <w:szCs w:val="28"/>
        </w:rPr>
        <w:drawing>
          <wp:inline distT="0" distB="0" distL="0" distR="0">
            <wp:extent cx="6019800" cy="1885950"/>
            <wp:effectExtent l="19050" t="0" r="19050" b="0"/>
            <wp:docPr id="22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3D49" w:rsidRPr="00677E27" w:rsidRDefault="00E13D49" w:rsidP="00E13D49">
      <w:pPr>
        <w:ind w:firstLine="709"/>
        <w:jc w:val="center"/>
        <w:rPr>
          <w:b/>
        </w:rPr>
      </w:pPr>
      <w:r w:rsidRPr="00677E27">
        <w:rPr>
          <w:b/>
        </w:rPr>
        <w:t xml:space="preserve">Рис. </w:t>
      </w:r>
      <w:r w:rsidR="00540D77">
        <w:rPr>
          <w:b/>
        </w:rPr>
        <w:t>3</w:t>
      </w:r>
      <w:r w:rsidRPr="00677E27">
        <w:rPr>
          <w:b/>
        </w:rPr>
        <w:t>. Среднесписочная численность работников организаций, чел.</w:t>
      </w:r>
    </w:p>
    <w:p w:rsidR="00E13D49" w:rsidRPr="000163EA" w:rsidRDefault="00E13D49" w:rsidP="00E13D49">
      <w:pPr>
        <w:ind w:firstLine="709"/>
        <w:jc w:val="both"/>
        <w:rPr>
          <w:sz w:val="28"/>
          <w:szCs w:val="28"/>
          <w:highlight w:val="yellow"/>
        </w:rPr>
      </w:pP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Среднесписочная численность работников организаций района в 2021 году составила 15 556 чел., увеличившись к уровню 2020 года  на 6,4%, в 2022 году – 15664 чел., в 2023 году численность работников организаций увеличится до 15743 чел., в 2024 г. – 15823 чел., в 2025 г. – 15903 чел.</w:t>
      </w:r>
    </w:p>
    <w:p w:rsidR="00E13D49" w:rsidRPr="00280DBB" w:rsidRDefault="00E13D49" w:rsidP="00E13D49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численности </w:t>
      </w:r>
      <w:proofErr w:type="gramStart"/>
      <w:r w:rsidRPr="00280DBB">
        <w:rPr>
          <w:sz w:val="26"/>
          <w:szCs w:val="26"/>
        </w:rPr>
        <w:t>занятых</w:t>
      </w:r>
      <w:proofErr w:type="gramEnd"/>
      <w:r w:rsidRPr="00280DBB">
        <w:rPr>
          <w:sz w:val="26"/>
          <w:szCs w:val="26"/>
        </w:rPr>
        <w:t xml:space="preserve"> в экономике и численность постоянного населения представлены на рисунке </w:t>
      </w:r>
      <w:r w:rsidR="00540D77">
        <w:rPr>
          <w:sz w:val="26"/>
          <w:szCs w:val="26"/>
        </w:rPr>
        <w:t>4</w:t>
      </w:r>
      <w:r w:rsidRPr="00280DBB">
        <w:rPr>
          <w:sz w:val="26"/>
          <w:szCs w:val="26"/>
        </w:rPr>
        <w:t>:</w:t>
      </w:r>
    </w:p>
    <w:p w:rsidR="00E13D49" w:rsidRPr="00677E27" w:rsidRDefault="00E13D49" w:rsidP="00E13D49">
      <w:pPr>
        <w:ind w:firstLine="567"/>
        <w:jc w:val="both"/>
        <w:rPr>
          <w:sz w:val="28"/>
          <w:szCs w:val="28"/>
        </w:rPr>
      </w:pPr>
    </w:p>
    <w:p w:rsidR="00E13D49" w:rsidRPr="00677E27" w:rsidRDefault="00E13D49" w:rsidP="00E13D49">
      <w:pPr>
        <w:jc w:val="center"/>
        <w:rPr>
          <w:sz w:val="28"/>
          <w:szCs w:val="28"/>
        </w:rPr>
      </w:pPr>
      <w:r w:rsidRPr="00677E27">
        <w:rPr>
          <w:noProof/>
          <w:sz w:val="28"/>
          <w:szCs w:val="28"/>
        </w:rPr>
        <w:drawing>
          <wp:inline distT="0" distB="0" distL="0" distR="0">
            <wp:extent cx="6096000" cy="1990725"/>
            <wp:effectExtent l="19050" t="0" r="19050" b="0"/>
            <wp:docPr id="230" name="Объект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13D49" w:rsidRPr="00677E27" w:rsidRDefault="00E13D49" w:rsidP="00E13D49">
      <w:pPr>
        <w:ind w:firstLine="709"/>
        <w:jc w:val="center"/>
        <w:rPr>
          <w:b/>
        </w:rPr>
      </w:pPr>
      <w:r w:rsidRPr="00677E27">
        <w:rPr>
          <w:b/>
        </w:rPr>
        <w:t xml:space="preserve">Рис </w:t>
      </w:r>
      <w:r w:rsidR="00540D77">
        <w:rPr>
          <w:b/>
        </w:rPr>
        <w:t>4</w:t>
      </w:r>
      <w:r>
        <w:rPr>
          <w:b/>
        </w:rPr>
        <w:t>.</w:t>
      </w:r>
      <w:r w:rsidRPr="00677E27">
        <w:rPr>
          <w:b/>
        </w:rPr>
        <w:t xml:space="preserve"> Численность занятых в экономике и численность постоянного населения, чел.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Так, в 2021 году численность постоянного населения составила 989</w:t>
      </w:r>
      <w:r w:rsidR="00400943">
        <w:rPr>
          <w:sz w:val="26"/>
          <w:szCs w:val="26"/>
        </w:rPr>
        <w:t>2</w:t>
      </w:r>
      <w:r w:rsidRPr="00280DBB">
        <w:rPr>
          <w:sz w:val="26"/>
          <w:szCs w:val="26"/>
        </w:rPr>
        <w:t xml:space="preserve"> чел., по оценке 2022 г. численность населения снизится до 9659 чел., в 2023 г. до 9647 чел., в 2024 г. составит 9632 чел., в 2025 г. – 9616 чел.</w:t>
      </w:r>
    </w:p>
    <w:p w:rsidR="00E13D49" w:rsidRPr="00280DBB" w:rsidRDefault="00E13D49" w:rsidP="00E13D49">
      <w:pPr>
        <w:pStyle w:val="a9"/>
        <w:pBdr>
          <w:bottom w:val="none" w:sz="4" w:space="13" w:color="000000"/>
        </w:pBd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В 2021 году район вернулся к </w:t>
      </w:r>
      <w:proofErr w:type="spellStart"/>
      <w:r w:rsidRPr="00280DBB">
        <w:rPr>
          <w:rFonts w:ascii="Times New Roman" w:hAnsi="Times New Roman"/>
          <w:sz w:val="26"/>
          <w:szCs w:val="26"/>
        </w:rPr>
        <w:t>допандемийным</w:t>
      </w:r>
      <w:proofErr w:type="spellEnd"/>
      <w:r w:rsidRPr="00280DBB">
        <w:rPr>
          <w:rFonts w:ascii="Times New Roman" w:hAnsi="Times New Roman"/>
          <w:sz w:val="26"/>
          <w:szCs w:val="26"/>
        </w:rPr>
        <w:t xml:space="preserve"> значениям уровня безработицы - </w:t>
      </w:r>
      <w:r w:rsidRPr="00280DBB">
        <w:rPr>
          <w:rFonts w:ascii="Times New Roman" w:hAnsi="Times New Roman"/>
          <w:b/>
          <w:sz w:val="26"/>
          <w:szCs w:val="26"/>
          <w:u w:val="single"/>
        </w:rPr>
        <w:t>0,3%</w:t>
      </w:r>
      <w:r w:rsidRPr="00280DBB">
        <w:rPr>
          <w:rFonts w:ascii="Times New Roman" w:hAnsi="Times New Roman"/>
          <w:sz w:val="26"/>
          <w:szCs w:val="26"/>
        </w:rPr>
        <w:t xml:space="preserve"> (число безработных в 2021 году составило  </w:t>
      </w:r>
      <w:r w:rsidRPr="00280DBB">
        <w:rPr>
          <w:rFonts w:ascii="Times New Roman" w:hAnsi="Times New Roman"/>
          <w:b/>
          <w:sz w:val="26"/>
          <w:szCs w:val="26"/>
          <w:u w:val="single"/>
        </w:rPr>
        <w:t>24 человека</w:t>
      </w:r>
      <w:r w:rsidRPr="00280DBB">
        <w:rPr>
          <w:rFonts w:ascii="Times New Roman" w:hAnsi="Times New Roman"/>
          <w:sz w:val="26"/>
          <w:szCs w:val="26"/>
        </w:rPr>
        <w:t xml:space="preserve">). </w:t>
      </w:r>
    </w:p>
    <w:p w:rsidR="00E13D49" w:rsidRPr="00280DBB" w:rsidRDefault="00E13D49" w:rsidP="00E13D49">
      <w:pPr>
        <w:ind w:firstLine="709"/>
        <w:jc w:val="both"/>
        <w:rPr>
          <w:b/>
          <w:sz w:val="26"/>
          <w:szCs w:val="26"/>
        </w:rPr>
      </w:pPr>
      <w:r w:rsidRPr="00280DBB">
        <w:rPr>
          <w:b/>
          <w:sz w:val="26"/>
          <w:szCs w:val="26"/>
        </w:rPr>
        <w:t>Привлечение иностранных работников предприятиями и организациями Северо-Енисейского района.</w:t>
      </w:r>
    </w:p>
    <w:p w:rsidR="00E13D49" w:rsidRPr="00280DBB" w:rsidRDefault="00E13D49" w:rsidP="00E13D49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Потребность предприятий и организаций в </w:t>
      </w:r>
      <w:proofErr w:type="gramStart"/>
      <w:r w:rsidRPr="00280DBB">
        <w:rPr>
          <w:sz w:val="26"/>
          <w:szCs w:val="26"/>
        </w:rPr>
        <w:t>работниках</w:t>
      </w:r>
      <w:proofErr w:type="gramEnd"/>
      <w:r w:rsidRPr="00280DBB">
        <w:rPr>
          <w:sz w:val="26"/>
          <w:szCs w:val="26"/>
        </w:rPr>
        <w:t xml:space="preserve"> превышает численность постоянного трудоспособного населения, поэтому предприятия и организации района привлекают трудовую силу в район из других регионов и стран. В среднесрочной перспективе прогнозируется сохранение доли трудовых мигрантов в численности занятых в экономике в пределах 10%.</w:t>
      </w:r>
    </w:p>
    <w:p w:rsidR="00280DBB" w:rsidRDefault="00280DBB" w:rsidP="00280DBB">
      <w:pPr>
        <w:pStyle w:val="2"/>
        <w:numPr>
          <w:ilvl w:val="0"/>
          <w:numId w:val="0"/>
        </w:numPr>
        <w:rPr>
          <w:rFonts w:eastAsia="Times New Roman CYR"/>
        </w:rPr>
      </w:pPr>
      <w:bookmarkStart w:id="3" w:name="_Toc361390350"/>
      <w:bookmarkStart w:id="4" w:name="_Toc49869659"/>
    </w:p>
    <w:p w:rsidR="001175D0" w:rsidRDefault="001175D0" w:rsidP="00280DBB">
      <w:pPr>
        <w:pStyle w:val="2"/>
        <w:numPr>
          <w:ilvl w:val="0"/>
          <w:numId w:val="0"/>
        </w:numPr>
        <w:jc w:val="center"/>
        <w:rPr>
          <w:rFonts w:eastAsia="Times New Roman CYR"/>
        </w:rPr>
      </w:pPr>
    </w:p>
    <w:p w:rsidR="001175D0" w:rsidRDefault="001175D0" w:rsidP="00280DBB">
      <w:pPr>
        <w:pStyle w:val="2"/>
        <w:numPr>
          <w:ilvl w:val="0"/>
          <w:numId w:val="0"/>
        </w:numPr>
        <w:jc w:val="center"/>
        <w:rPr>
          <w:rFonts w:eastAsia="Times New Roman CYR"/>
        </w:rPr>
      </w:pPr>
    </w:p>
    <w:p w:rsidR="00280DBB" w:rsidRPr="000C5B8E" w:rsidRDefault="00280DBB" w:rsidP="00280DBB">
      <w:pPr>
        <w:pStyle w:val="2"/>
        <w:numPr>
          <w:ilvl w:val="0"/>
          <w:numId w:val="0"/>
        </w:numPr>
        <w:jc w:val="center"/>
        <w:rPr>
          <w:rFonts w:eastAsia="Times New Roman CYR"/>
        </w:rPr>
      </w:pPr>
      <w:r>
        <w:rPr>
          <w:rFonts w:eastAsia="Times New Roman CYR"/>
        </w:rPr>
        <w:lastRenderedPageBreak/>
        <w:t xml:space="preserve">3. </w:t>
      </w:r>
      <w:r w:rsidRPr="000C5B8E">
        <w:rPr>
          <w:rFonts w:eastAsia="Times New Roman CYR"/>
        </w:rPr>
        <w:t>Производство товаров и услуг</w:t>
      </w:r>
      <w:bookmarkEnd w:id="3"/>
      <w:bookmarkEnd w:id="4"/>
    </w:p>
    <w:p w:rsidR="00280DBB" w:rsidRPr="000C5B8E" w:rsidRDefault="00280DBB" w:rsidP="00280DBB">
      <w:pPr>
        <w:rPr>
          <w:rFonts w:eastAsia="Times New Roman CYR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Промышленность Северо-Енисейского района моноотраслевая, а именно, золотодобывающая промышленность и определяет динамику основных экономических показателей района, в том числе и объемов производства.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Объем отгруженных товаров собственного производства, выполненных работ и услуг собственными силами организаций по хозяйственным видам деятельности (без субъектов малого предпринимательства и параметров неформальной деятельности) - Раздел B: Добыча полезных ископаемых в 2021 году составил 251 059 931,48 тыс. руб., увеличение показателя к 2020 году составило 103,5 % (2020 год - 242 632 137,16 тыс. руб.).</w:t>
      </w:r>
    </w:p>
    <w:p w:rsidR="00400943" w:rsidRDefault="00400943" w:rsidP="00280DBB">
      <w:pPr>
        <w:ind w:firstLine="709"/>
        <w:jc w:val="both"/>
        <w:rPr>
          <w:rFonts w:eastAsia="Times New Roman CYR"/>
          <w:sz w:val="26"/>
          <w:szCs w:val="26"/>
        </w:rPr>
      </w:pPr>
    </w:p>
    <w:p w:rsidR="00280DBB" w:rsidRDefault="00280DBB" w:rsidP="00280DBB">
      <w:pPr>
        <w:ind w:firstLine="709"/>
        <w:jc w:val="both"/>
        <w:rPr>
          <w:rFonts w:eastAsia="Times New Roman CYR"/>
          <w:sz w:val="26"/>
          <w:szCs w:val="26"/>
        </w:rPr>
      </w:pPr>
      <w:r w:rsidRPr="00280DBB">
        <w:rPr>
          <w:rFonts w:eastAsia="Times New Roman CYR"/>
          <w:sz w:val="26"/>
          <w:szCs w:val="26"/>
        </w:rPr>
        <w:t xml:space="preserve">Динамика объема отгруженной продукции организаций Северо-Енисейского района (по чистым видам деятельности) представлена на рисунке </w:t>
      </w:r>
      <w:r w:rsidR="00540D77">
        <w:rPr>
          <w:rFonts w:eastAsia="Times New Roman CYR"/>
          <w:sz w:val="26"/>
          <w:szCs w:val="26"/>
        </w:rPr>
        <w:t>5</w:t>
      </w:r>
      <w:r w:rsidRPr="00280DBB">
        <w:rPr>
          <w:rFonts w:eastAsia="Times New Roman CYR"/>
          <w:sz w:val="26"/>
          <w:szCs w:val="26"/>
        </w:rPr>
        <w:t>.</w:t>
      </w:r>
    </w:p>
    <w:p w:rsidR="00280DBB" w:rsidRPr="00280DBB" w:rsidRDefault="00280DBB" w:rsidP="00280DBB">
      <w:pPr>
        <w:ind w:firstLine="709"/>
        <w:jc w:val="both"/>
        <w:rPr>
          <w:rFonts w:eastAsia="Times New Roman CYR"/>
          <w:sz w:val="26"/>
          <w:szCs w:val="26"/>
        </w:rPr>
      </w:pPr>
    </w:p>
    <w:p w:rsidR="00280DBB" w:rsidRPr="00D26517" w:rsidRDefault="00280DBB" w:rsidP="00280DBB">
      <w:pPr>
        <w:jc w:val="center"/>
        <w:rPr>
          <w:rFonts w:eastAsia="Times New Roman CYR"/>
          <w:sz w:val="28"/>
          <w:szCs w:val="28"/>
        </w:rPr>
      </w:pPr>
      <w:r w:rsidRPr="00D26517">
        <w:rPr>
          <w:noProof/>
        </w:rPr>
        <w:drawing>
          <wp:inline distT="0" distB="0" distL="0" distR="0">
            <wp:extent cx="5891530" cy="2028825"/>
            <wp:effectExtent l="19050" t="0" r="13970" b="0"/>
            <wp:docPr id="7" name="Объект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80DBB" w:rsidRPr="00D26517" w:rsidRDefault="00280DBB" w:rsidP="00280DBB">
      <w:pPr>
        <w:jc w:val="center"/>
        <w:rPr>
          <w:rFonts w:eastAsia="Times New Roman CYR"/>
          <w:b/>
        </w:rPr>
      </w:pPr>
      <w:r w:rsidRPr="00D26517">
        <w:rPr>
          <w:rFonts w:eastAsia="Times New Roman CYR"/>
          <w:b/>
        </w:rPr>
        <w:t xml:space="preserve">Рис. </w:t>
      </w:r>
      <w:r w:rsidR="00540D77">
        <w:rPr>
          <w:rFonts w:eastAsia="Times New Roman CYR"/>
          <w:b/>
        </w:rPr>
        <w:t>5</w:t>
      </w:r>
      <w:r w:rsidRPr="00D26517">
        <w:rPr>
          <w:rFonts w:eastAsia="Times New Roman CYR"/>
          <w:b/>
        </w:rPr>
        <w:t xml:space="preserve">. Объем отгруженной продукции организаций Северо-Енисейского района </w:t>
      </w:r>
    </w:p>
    <w:p w:rsidR="00280DBB" w:rsidRPr="000C5B8E" w:rsidRDefault="00280DBB" w:rsidP="00280DBB">
      <w:pPr>
        <w:jc w:val="center"/>
        <w:rPr>
          <w:rFonts w:eastAsia="Times New Roman CYR"/>
          <w:b/>
        </w:rPr>
      </w:pPr>
      <w:r w:rsidRPr="00D26517">
        <w:rPr>
          <w:rFonts w:eastAsia="Times New Roman CYR"/>
          <w:b/>
        </w:rPr>
        <w:t>(по чистым видам деятельности), млн. руб.</w:t>
      </w:r>
    </w:p>
    <w:p w:rsidR="00400943" w:rsidRDefault="00400943" w:rsidP="00280DBB">
      <w:pPr>
        <w:ind w:firstLine="709"/>
        <w:jc w:val="both"/>
        <w:rPr>
          <w:rFonts w:eastAsia="Times New Roman CYR"/>
          <w:sz w:val="26"/>
          <w:szCs w:val="26"/>
        </w:rPr>
      </w:pPr>
    </w:p>
    <w:p w:rsidR="00280DBB" w:rsidRPr="00280DBB" w:rsidRDefault="00280DBB" w:rsidP="00280DBB">
      <w:pPr>
        <w:ind w:firstLine="709"/>
        <w:jc w:val="both"/>
        <w:rPr>
          <w:rFonts w:eastAsia="Times New Roman CYR"/>
          <w:sz w:val="26"/>
          <w:szCs w:val="26"/>
        </w:rPr>
      </w:pPr>
      <w:r w:rsidRPr="00280DBB">
        <w:rPr>
          <w:rFonts w:eastAsia="Times New Roman CYR"/>
          <w:sz w:val="26"/>
          <w:szCs w:val="26"/>
        </w:rPr>
        <w:t xml:space="preserve">Наглядно динамика объемов золотодобычи представлена на рисунке </w:t>
      </w:r>
      <w:r w:rsidR="00540D77">
        <w:rPr>
          <w:rFonts w:eastAsia="Times New Roman CYR"/>
          <w:sz w:val="26"/>
          <w:szCs w:val="26"/>
        </w:rPr>
        <w:t>6</w:t>
      </w:r>
      <w:r w:rsidRPr="00280DBB">
        <w:rPr>
          <w:rFonts w:eastAsia="Times New Roman CYR"/>
          <w:sz w:val="26"/>
          <w:szCs w:val="26"/>
        </w:rPr>
        <w:t>.</w:t>
      </w:r>
    </w:p>
    <w:p w:rsidR="00280DBB" w:rsidRPr="00D26517" w:rsidRDefault="00280DBB" w:rsidP="00280DBB">
      <w:pPr>
        <w:ind w:firstLine="709"/>
        <w:jc w:val="both"/>
        <w:rPr>
          <w:rFonts w:eastAsia="Times New Roman CYR"/>
          <w:sz w:val="28"/>
          <w:szCs w:val="28"/>
        </w:rPr>
      </w:pPr>
    </w:p>
    <w:p w:rsidR="00280DBB" w:rsidRPr="00D26517" w:rsidRDefault="00280DBB" w:rsidP="00280DBB">
      <w:pPr>
        <w:jc w:val="center"/>
        <w:rPr>
          <w:rFonts w:eastAsia="Times New Roman CYR"/>
          <w:sz w:val="28"/>
          <w:szCs w:val="28"/>
        </w:rPr>
      </w:pPr>
      <w:r w:rsidRPr="00D26517">
        <w:rPr>
          <w:noProof/>
        </w:rPr>
        <w:drawing>
          <wp:inline distT="0" distB="0" distL="0" distR="0">
            <wp:extent cx="5753100" cy="1781175"/>
            <wp:effectExtent l="19050" t="0" r="19050" b="0"/>
            <wp:docPr id="8" name="Объект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80DBB" w:rsidRPr="005C0E90" w:rsidRDefault="00280DBB" w:rsidP="00280DBB">
      <w:pPr>
        <w:ind w:firstLine="709"/>
        <w:jc w:val="center"/>
        <w:rPr>
          <w:rFonts w:eastAsia="Times New Roman CYR"/>
          <w:b/>
        </w:rPr>
      </w:pPr>
      <w:r w:rsidRPr="00D26517">
        <w:rPr>
          <w:rFonts w:eastAsia="Times New Roman CYR"/>
          <w:b/>
        </w:rPr>
        <w:t xml:space="preserve">Рис. </w:t>
      </w:r>
      <w:r w:rsidR="00540D77">
        <w:rPr>
          <w:rFonts w:eastAsia="Times New Roman CYR"/>
          <w:b/>
        </w:rPr>
        <w:t>6</w:t>
      </w:r>
      <w:r w:rsidRPr="00D26517">
        <w:rPr>
          <w:rFonts w:eastAsia="Times New Roman CYR"/>
          <w:b/>
        </w:rPr>
        <w:t>. Объемы добычи золота, тонн.</w:t>
      </w:r>
    </w:p>
    <w:p w:rsid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2021 году золотодобывающими предприятиями района добыто золота в натуральном выражении – </w:t>
      </w:r>
      <w:r w:rsidRPr="00280DBB">
        <w:rPr>
          <w:b/>
          <w:bCs/>
          <w:sz w:val="26"/>
          <w:szCs w:val="26"/>
          <w:u w:val="single"/>
        </w:rPr>
        <w:t>53,7 тонн</w:t>
      </w:r>
      <w:r w:rsidRPr="00280DBB">
        <w:rPr>
          <w:sz w:val="26"/>
          <w:szCs w:val="26"/>
        </w:rPr>
        <w:t xml:space="preserve">, что меньше на 3,8 тонн или на </w:t>
      </w:r>
      <w:r w:rsidRPr="00280DBB">
        <w:rPr>
          <w:sz w:val="26"/>
          <w:szCs w:val="26"/>
          <w:u w:val="single"/>
        </w:rPr>
        <w:t xml:space="preserve">6,7 </w:t>
      </w:r>
      <w:r w:rsidRPr="00280DBB">
        <w:rPr>
          <w:sz w:val="26"/>
          <w:szCs w:val="26"/>
        </w:rPr>
        <w:t>%, чем в 2020 году (</w:t>
      </w:r>
      <w:r w:rsidRPr="00280DBB">
        <w:rPr>
          <w:b/>
          <w:bCs/>
          <w:sz w:val="26"/>
          <w:szCs w:val="26"/>
          <w:u w:val="single"/>
        </w:rPr>
        <w:t xml:space="preserve">57,5 </w:t>
      </w:r>
      <w:r w:rsidRPr="00280DBB">
        <w:rPr>
          <w:sz w:val="26"/>
          <w:szCs w:val="26"/>
        </w:rPr>
        <w:t>тонн).</w:t>
      </w:r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По оценке 2022 года объем золотодобычи ожидается на уровне 58,1 тонн, в 2023 году – 59,6 тонн золота, в 2024 г. – 61,9 тонн золота, в 2025 г.–62,1 кг золота.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b/>
          <w:bCs/>
          <w:sz w:val="26"/>
          <w:szCs w:val="26"/>
        </w:rPr>
      </w:pPr>
      <w:r w:rsidRPr="00280DBB">
        <w:rPr>
          <w:b/>
          <w:bCs/>
          <w:sz w:val="26"/>
          <w:szCs w:val="26"/>
        </w:rPr>
        <w:t>Индекс производства Северо-Енисейского района в 2021 году составил 93,29% к уровню 2020 года, в том числе по чистым видам экономической деятельности: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«Добыча полезных ископаемых» - 93,29 %;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lastRenderedPageBreak/>
        <w:t>«Обрабатывающие производства» - 91,1 %;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«Обработка древесины и производство изделий из дерева и пробки, кроме мебели, производство изделий из соломки и материалов для плетения» - 105,2 %;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«Обеспечение электрической энергией, газом и паром; кондиционирование воздуха» - 85,6 %;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«Водоснабжение; водоотведение, организация сбора и утилизация отходов, деятельность по ликвидации и загрязнений» - 103,7 %.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В связи с тем, что в общем объеме промышленного производства по Северо-Енисейскому району наибольший удельный вес приходится на сферу золотодобычи, именно эта отрасль и задает общий уровень индексов производства по району.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>Производство основных видов промышленной продукции района в 2021 году (в натуральном выражении и в % к 2020 году):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- </w:t>
      </w:r>
      <w:r w:rsidRPr="00280DBB">
        <w:rPr>
          <w:b/>
          <w:sz w:val="26"/>
          <w:szCs w:val="26"/>
        </w:rPr>
        <w:t>53,7</w:t>
      </w:r>
      <w:r w:rsidRPr="00280DBB">
        <w:rPr>
          <w:sz w:val="26"/>
          <w:szCs w:val="26"/>
        </w:rPr>
        <w:t xml:space="preserve"> </w:t>
      </w:r>
      <w:r w:rsidRPr="00280DBB">
        <w:rPr>
          <w:b/>
          <w:bCs/>
          <w:sz w:val="26"/>
          <w:szCs w:val="26"/>
          <w:u w:val="single"/>
        </w:rPr>
        <w:t xml:space="preserve"> тонн золота</w:t>
      </w:r>
      <w:r w:rsidRPr="00280DBB">
        <w:rPr>
          <w:sz w:val="26"/>
          <w:szCs w:val="26"/>
        </w:rPr>
        <w:t xml:space="preserve">, что меньше на 3,8 тонн или на </w:t>
      </w:r>
      <w:r w:rsidRPr="00280DBB">
        <w:rPr>
          <w:sz w:val="26"/>
          <w:szCs w:val="26"/>
          <w:u w:val="single"/>
        </w:rPr>
        <w:t xml:space="preserve">6,7 </w:t>
      </w:r>
      <w:r w:rsidRPr="00280DBB">
        <w:rPr>
          <w:sz w:val="26"/>
          <w:szCs w:val="26"/>
        </w:rPr>
        <w:t>%, чем в 2020 году (</w:t>
      </w:r>
      <w:r w:rsidRPr="00280DBB">
        <w:rPr>
          <w:b/>
          <w:bCs/>
          <w:sz w:val="26"/>
          <w:szCs w:val="26"/>
          <w:u w:val="single"/>
        </w:rPr>
        <w:t xml:space="preserve">57,5 </w:t>
      </w:r>
      <w:r w:rsidRPr="00280DBB">
        <w:rPr>
          <w:sz w:val="26"/>
          <w:szCs w:val="26"/>
        </w:rPr>
        <w:t>тонн);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изделия хлебобулочные и мучные кондитерские – 487,4 тонн или 90,4%;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лесоматериалы необработанные – 501,6 тыс. пл. куб. метров или 72,6%;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электроэнергия, произведенная ГЭС – 23 654 тыс. кВ. ч. или 89,4%;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тепловая энергия – 127,7 тыс. Гкал. 106,3%;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вода питьевая – 1154,48 тыс. куб. метров или 102,9%;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- вода сточная очищенная – 470,4 тыс. куб. метров или 103,7%.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rPr>
          <w:b/>
          <w:bCs/>
          <w:sz w:val="26"/>
          <w:szCs w:val="26"/>
        </w:rPr>
      </w:pPr>
      <w:r w:rsidRPr="00280DBB">
        <w:rPr>
          <w:b/>
          <w:bCs/>
          <w:sz w:val="26"/>
          <w:szCs w:val="26"/>
        </w:rPr>
        <w:t>Промышленность района моноотраслевая.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  <w:u w:val="single"/>
        </w:rPr>
      </w:pPr>
      <w:r w:rsidRPr="00280DBB">
        <w:rPr>
          <w:sz w:val="26"/>
          <w:szCs w:val="26"/>
          <w:u w:val="single"/>
        </w:rPr>
        <w:t>Сегодня Северо-Енисейский район – является лидером по объемам золотодобычи не только в крае, но и в России в целом, и занимает лидирующие позиции в крае по объему выпуска промышленной продукции на душу населения.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280DBB">
        <w:rPr>
          <w:b/>
          <w:bCs/>
          <w:sz w:val="26"/>
          <w:szCs w:val="26"/>
        </w:rPr>
        <w:t>В итоге, развитие золотодобывающей промышленности на территории района является определяющим фактором социально-экономического развития Северо-Енисейского района на долгосрочную перспективу.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Прочая промышленная продукция в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Pr="00280DBB">
        <w:rPr>
          <w:sz w:val="26"/>
          <w:szCs w:val="26"/>
        </w:rPr>
        <w:t xml:space="preserve"> производится для целей внутрирайонного потребления. К данным видам производств относится – производство хлеба и хлебобулочных изделий, обработка древесины и производство изделий из дерева, производство воды, </w:t>
      </w:r>
      <w:proofErr w:type="spellStart"/>
      <w:r w:rsidRPr="00280DBB">
        <w:rPr>
          <w:sz w:val="26"/>
          <w:szCs w:val="26"/>
        </w:rPr>
        <w:t>теплоэнергии</w:t>
      </w:r>
      <w:proofErr w:type="spellEnd"/>
      <w:r w:rsidRPr="00280DBB">
        <w:rPr>
          <w:sz w:val="26"/>
          <w:szCs w:val="26"/>
        </w:rPr>
        <w:t>, электроэнергии, производство бланочной продукции.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Заготовкой и вывозкой древесины, изготовлением изделий из древесины занимаются следующие предприятия в районе: муниципальное унитарное предприятие «Управление коммуникационным комплексом Северо-Енисейского района», ООО "ДОК "Енисей"</w:t>
      </w:r>
      <w:proofErr w:type="gramStart"/>
      <w:r w:rsidRPr="00280DBB">
        <w:rPr>
          <w:sz w:val="26"/>
          <w:szCs w:val="26"/>
        </w:rPr>
        <w:t>,О</w:t>
      </w:r>
      <w:proofErr w:type="gramEnd"/>
      <w:r w:rsidRPr="00280DBB">
        <w:rPr>
          <w:sz w:val="26"/>
          <w:szCs w:val="26"/>
        </w:rPr>
        <w:t>ОО "</w:t>
      </w:r>
      <w:proofErr w:type="spellStart"/>
      <w:r w:rsidRPr="00280DBB">
        <w:rPr>
          <w:sz w:val="26"/>
          <w:szCs w:val="26"/>
        </w:rPr>
        <w:t>ЛесКом</w:t>
      </w:r>
      <w:proofErr w:type="spellEnd"/>
      <w:r w:rsidRPr="00280DBB">
        <w:rPr>
          <w:sz w:val="26"/>
          <w:szCs w:val="26"/>
        </w:rPr>
        <w:t xml:space="preserve">". 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Производство хлеба и хлебобулочных изделий осуществляет  муниципальное предприятие «Хлебопек».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Подакцизных товаров на территории Северо-Енисейского района не производится. 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Основными золотодобывающими предприятиями, действующими на территории района, являются АО «Полюс Красноярск», ООО «Соврудник», ООО «АС «Прииск Дражный», филиал Северная геологоразведочная экспедиция ОАО «Красноярская горно-геологическая компания», ООО ГРК «Амикан».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На территории района созданы все условия для обеспечения населения района </w:t>
      </w:r>
      <w:r w:rsidRPr="00280DBB">
        <w:rPr>
          <w:b/>
          <w:sz w:val="26"/>
          <w:szCs w:val="26"/>
          <w:u w:val="single"/>
        </w:rPr>
        <w:t>услугами торговли, общественного питания и бытового обслуживания</w:t>
      </w:r>
      <w:r w:rsidRPr="00280DBB">
        <w:rPr>
          <w:sz w:val="26"/>
          <w:szCs w:val="26"/>
        </w:rPr>
        <w:t>. Постоянно проводится мониторинг и анализ потребительского рынка района.</w:t>
      </w:r>
    </w:p>
    <w:p w:rsidR="00280DBB" w:rsidRPr="00280DBB" w:rsidRDefault="00280DBB" w:rsidP="00280DBB">
      <w:pPr>
        <w:pBdr>
          <w:bottom w:val="none" w:sz="4" w:space="14" w:color="000000"/>
        </w:pBd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За 2021 год населению района реализовано продовольственных и промышленных товаров на сумму </w:t>
      </w:r>
      <w:r w:rsidRPr="00280DBB">
        <w:rPr>
          <w:b/>
          <w:sz w:val="26"/>
          <w:szCs w:val="26"/>
          <w:u w:val="single"/>
        </w:rPr>
        <w:t>1,7 млрд. руб</w:t>
      </w:r>
      <w:r w:rsidRPr="00280DBB">
        <w:rPr>
          <w:sz w:val="26"/>
          <w:szCs w:val="26"/>
        </w:rPr>
        <w:t xml:space="preserve">., что на </w:t>
      </w:r>
      <w:r w:rsidRPr="00280DBB">
        <w:rPr>
          <w:b/>
          <w:sz w:val="26"/>
          <w:szCs w:val="26"/>
          <w:u w:val="single"/>
        </w:rPr>
        <w:t>5,</w:t>
      </w:r>
      <w:r w:rsidR="00E642C3">
        <w:rPr>
          <w:b/>
          <w:sz w:val="26"/>
          <w:szCs w:val="26"/>
          <w:u w:val="single"/>
        </w:rPr>
        <w:t>3</w:t>
      </w:r>
      <w:r w:rsidR="00400943">
        <w:rPr>
          <w:b/>
          <w:sz w:val="26"/>
          <w:szCs w:val="26"/>
          <w:u w:val="single"/>
        </w:rPr>
        <w:t>4</w:t>
      </w:r>
      <w:r w:rsidRPr="00280DBB">
        <w:rPr>
          <w:b/>
          <w:sz w:val="26"/>
          <w:szCs w:val="26"/>
          <w:u w:val="single"/>
        </w:rPr>
        <w:t>%</w:t>
      </w:r>
      <w:r w:rsidRPr="00280DBB">
        <w:rPr>
          <w:sz w:val="26"/>
          <w:szCs w:val="26"/>
        </w:rPr>
        <w:t xml:space="preserve"> больше прошлого </w:t>
      </w:r>
      <w:r w:rsidRPr="00280DBB">
        <w:rPr>
          <w:sz w:val="26"/>
          <w:szCs w:val="26"/>
        </w:rPr>
        <w:lastRenderedPageBreak/>
        <w:t xml:space="preserve">года. А оборот общественного питания составил  </w:t>
      </w:r>
      <w:r w:rsidRPr="00280DBB">
        <w:rPr>
          <w:b/>
          <w:sz w:val="26"/>
          <w:szCs w:val="26"/>
          <w:u w:val="single"/>
        </w:rPr>
        <w:t xml:space="preserve">2,2 млрд. руб., </w:t>
      </w:r>
      <w:r w:rsidRPr="00280DBB">
        <w:rPr>
          <w:sz w:val="26"/>
          <w:szCs w:val="26"/>
        </w:rPr>
        <w:t>что на</w:t>
      </w:r>
      <w:r w:rsidRPr="00280DBB">
        <w:rPr>
          <w:b/>
          <w:sz w:val="26"/>
          <w:szCs w:val="26"/>
          <w:u w:val="single"/>
        </w:rPr>
        <w:t xml:space="preserve"> </w:t>
      </w:r>
      <w:r w:rsidR="00E642C3">
        <w:rPr>
          <w:b/>
          <w:sz w:val="26"/>
          <w:szCs w:val="26"/>
          <w:u w:val="single"/>
        </w:rPr>
        <w:t>42,8</w:t>
      </w:r>
      <w:r w:rsidRPr="00280DBB">
        <w:rPr>
          <w:b/>
          <w:sz w:val="26"/>
          <w:szCs w:val="26"/>
          <w:u w:val="single"/>
        </w:rPr>
        <w:t xml:space="preserve">% </w:t>
      </w:r>
      <w:r w:rsidRPr="00280DBB">
        <w:rPr>
          <w:sz w:val="26"/>
          <w:szCs w:val="26"/>
        </w:rPr>
        <w:t>больше, чем в 2020 году.</w:t>
      </w:r>
    </w:p>
    <w:p w:rsidR="00280DBB" w:rsidRPr="00280DBB" w:rsidRDefault="00280DBB" w:rsidP="00280DBB">
      <w:pPr>
        <w:pBdr>
          <w:bottom w:val="none" w:sz="4" w:space="14" w:color="000000"/>
        </w:pBd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 результатам 2021 года муниципальное предприятие Северо-Енисейского района «Хлебопек» выпекло хлеба, хлебобулочных и кондитерских изделий </w:t>
      </w:r>
      <w:r w:rsidRPr="00280DBB">
        <w:rPr>
          <w:b/>
          <w:sz w:val="26"/>
          <w:szCs w:val="26"/>
          <w:u w:val="single"/>
        </w:rPr>
        <w:t>491 тонну.</w:t>
      </w:r>
      <w:r w:rsidRPr="00280DBB">
        <w:rPr>
          <w:sz w:val="26"/>
          <w:szCs w:val="26"/>
          <w:u w:val="single"/>
        </w:rPr>
        <w:t xml:space="preserve"> </w:t>
      </w:r>
    </w:p>
    <w:p w:rsidR="00280DBB" w:rsidRPr="00280DBB" w:rsidRDefault="00280DBB" w:rsidP="00280DBB">
      <w:pPr>
        <w:pStyle w:val="1"/>
        <w:numPr>
          <w:ilvl w:val="0"/>
          <w:numId w:val="0"/>
        </w:numPr>
        <w:ind w:left="1701"/>
        <w:rPr>
          <w:sz w:val="28"/>
          <w:szCs w:val="28"/>
        </w:rPr>
      </w:pPr>
      <w:bookmarkStart w:id="5" w:name="_Toc361390361"/>
      <w:bookmarkStart w:id="6" w:name="_Toc49869669"/>
      <w:r w:rsidRPr="00280DBB">
        <w:rPr>
          <w:sz w:val="28"/>
          <w:szCs w:val="28"/>
        </w:rPr>
        <w:t>4. Малое предпринимательство</w:t>
      </w:r>
      <w:bookmarkEnd w:id="5"/>
      <w:bookmarkEnd w:id="6"/>
    </w:p>
    <w:p w:rsidR="00280DBB" w:rsidRPr="00A037CD" w:rsidRDefault="00280DBB" w:rsidP="00280DBB"/>
    <w:p w:rsidR="00280DBB" w:rsidRPr="0094067F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Малое предпринимательство в Северо-Енисейском </w:t>
      </w:r>
      <w:proofErr w:type="gramStart"/>
      <w:r w:rsidRPr="0094067F">
        <w:rPr>
          <w:rFonts w:ascii="Times New Roman CYR" w:hAnsi="Times New Roman CYR" w:cs="Times New Roman CYR"/>
          <w:sz w:val="26"/>
          <w:szCs w:val="26"/>
        </w:rPr>
        <w:t>районе</w:t>
      </w:r>
      <w:proofErr w:type="gramEnd"/>
      <w:r w:rsidRPr="0094067F">
        <w:rPr>
          <w:rFonts w:ascii="Times New Roman CYR" w:hAnsi="Times New Roman CYR" w:cs="Times New Roman CYR"/>
          <w:sz w:val="26"/>
          <w:szCs w:val="26"/>
        </w:rPr>
        <w:t xml:space="preserve">  представлено в небольшом объеме, в основном, в сфере торговли. Более широкого развития в </w:t>
      </w:r>
      <w:proofErr w:type="gramStart"/>
      <w:r w:rsidRPr="0094067F">
        <w:rPr>
          <w:rFonts w:ascii="Times New Roman CYR" w:hAnsi="Times New Roman CYR" w:cs="Times New Roman CYR"/>
          <w:sz w:val="26"/>
          <w:szCs w:val="26"/>
        </w:rPr>
        <w:t>районе</w:t>
      </w:r>
      <w:proofErr w:type="gramEnd"/>
      <w:r w:rsidRPr="0094067F">
        <w:rPr>
          <w:rFonts w:ascii="Times New Roman CYR" w:hAnsi="Times New Roman CYR" w:cs="Times New Roman CYR"/>
          <w:sz w:val="26"/>
          <w:szCs w:val="26"/>
        </w:rPr>
        <w:t xml:space="preserve"> малое предпринимательство не получило, по причине особенностей развития и специфики производства нашего района. </w:t>
      </w:r>
    </w:p>
    <w:p w:rsidR="00280DBB" w:rsidRPr="0094067F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Малое предпринимательство в Северо-Енисейском районе представлено в основном, в сфере торговли, </w:t>
      </w:r>
      <w:proofErr w:type="spellStart"/>
      <w:r w:rsidRPr="0094067F">
        <w:rPr>
          <w:rFonts w:ascii="Times New Roman CYR" w:hAnsi="Times New Roman CYR" w:cs="Times New Roman CYR"/>
          <w:sz w:val="26"/>
          <w:szCs w:val="26"/>
        </w:rPr>
        <w:t>пассажир</w:t>
      </w:r>
      <w:proofErr w:type="gramStart"/>
      <w:r w:rsidRPr="0094067F">
        <w:rPr>
          <w:rFonts w:ascii="Times New Roman CYR" w:hAnsi="Times New Roman CYR" w:cs="Times New Roman CYR"/>
          <w:sz w:val="26"/>
          <w:szCs w:val="26"/>
        </w:rPr>
        <w:t>о</w:t>
      </w:r>
      <w:proofErr w:type="spellEnd"/>
      <w:r w:rsidRPr="0094067F">
        <w:rPr>
          <w:rFonts w:ascii="Times New Roman CYR" w:hAnsi="Times New Roman CYR" w:cs="Times New Roman CYR"/>
          <w:sz w:val="26"/>
          <w:szCs w:val="26"/>
        </w:rPr>
        <w:t>-</w:t>
      </w:r>
      <w:proofErr w:type="gramEnd"/>
      <w:r w:rsidRPr="0094067F">
        <w:rPr>
          <w:rFonts w:ascii="Times New Roman CYR" w:hAnsi="Times New Roman CYR" w:cs="Times New Roman CYR"/>
          <w:sz w:val="26"/>
          <w:szCs w:val="26"/>
        </w:rPr>
        <w:t xml:space="preserve"> и грузоперевозок, и предоставления услуг населению, в том числе бытовых. </w:t>
      </w:r>
    </w:p>
    <w:p w:rsidR="00280DBB" w:rsidRPr="0094067F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highlight w:val="yellow"/>
        </w:rPr>
      </w:pPr>
    </w:p>
    <w:p w:rsidR="00280DBB" w:rsidRPr="0094067F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6"/>
          <w:szCs w:val="26"/>
        </w:rPr>
      </w:pPr>
      <w:r w:rsidRPr="0094067F">
        <w:rPr>
          <w:rFonts w:ascii="Times New Roman CYR" w:hAnsi="Times New Roman CYR" w:cs="Times New Roman CYR"/>
          <w:bCs/>
          <w:sz w:val="26"/>
          <w:szCs w:val="26"/>
        </w:rPr>
        <w:t>Динамика показателей количества субъектов малого и среднего предпринимательства представлены в таблице 2.</w:t>
      </w:r>
    </w:p>
    <w:p w:rsidR="00280DBB" w:rsidRPr="00A037CD" w:rsidRDefault="00280DBB" w:rsidP="00280DBB">
      <w:pPr>
        <w:widowControl w:val="0"/>
        <w:autoSpaceDE w:val="0"/>
        <w:autoSpaceDN w:val="0"/>
        <w:adjustRightInd w:val="0"/>
        <w:ind w:right="141" w:firstLine="567"/>
        <w:jc w:val="right"/>
        <w:rPr>
          <w:rFonts w:ascii="Times New Roman CYR" w:hAnsi="Times New Roman CYR" w:cs="Times New Roman CYR"/>
          <w:bCs/>
        </w:rPr>
      </w:pPr>
      <w:r w:rsidRPr="00A037CD">
        <w:rPr>
          <w:rFonts w:ascii="Times New Roman CYR" w:hAnsi="Times New Roman CYR" w:cs="Times New Roman CYR"/>
          <w:bCs/>
        </w:rPr>
        <w:t xml:space="preserve">Таблица </w:t>
      </w:r>
      <w:r>
        <w:rPr>
          <w:rFonts w:ascii="Times New Roman CYR" w:hAnsi="Times New Roman CYR" w:cs="Times New Roman CYR"/>
          <w:bCs/>
        </w:rPr>
        <w:t>2</w:t>
      </w:r>
    </w:p>
    <w:tbl>
      <w:tblPr>
        <w:tblW w:w="9652" w:type="dxa"/>
        <w:tblInd w:w="95" w:type="dxa"/>
        <w:tblLayout w:type="fixed"/>
        <w:tblLook w:val="04A0"/>
      </w:tblPr>
      <w:tblGrid>
        <w:gridCol w:w="199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280DBB" w:rsidRPr="001175D0" w:rsidTr="001175D0">
        <w:trPr>
          <w:trHeight w:val="300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Наименование показателя и единицы измерения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Значения показателя</w:t>
            </w:r>
          </w:p>
        </w:tc>
      </w:tr>
      <w:tr w:rsidR="00280DBB" w:rsidRPr="001175D0" w:rsidTr="001175D0">
        <w:trPr>
          <w:trHeight w:val="600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2020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2021 факт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2022 оценка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2023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1вар.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2023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 вар.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2024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 вар.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2024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 вар.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2025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 вар.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2025 </w:t>
            </w:r>
          </w:p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 вар.</w:t>
            </w:r>
          </w:p>
        </w:tc>
      </w:tr>
      <w:tr w:rsidR="00280DBB" w:rsidRPr="001175D0" w:rsidTr="001175D0">
        <w:trPr>
          <w:trHeight w:val="7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1. Количество малых и микропредприятий, 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42</w:t>
            </w:r>
          </w:p>
        </w:tc>
      </w:tr>
      <w:tr w:rsidR="00280DBB" w:rsidRPr="001175D0" w:rsidTr="001175D0">
        <w:trPr>
          <w:trHeight w:val="7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2. Количество средних предприятий, 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</w:t>
            </w:r>
          </w:p>
        </w:tc>
      </w:tr>
      <w:tr w:rsidR="00280DBB" w:rsidRPr="001175D0" w:rsidTr="001175D0">
        <w:trPr>
          <w:trHeight w:val="7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3. Количество индивидуальных предпринимателей, 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154</w:t>
            </w:r>
          </w:p>
        </w:tc>
      </w:tr>
      <w:tr w:rsidR="00280DBB" w:rsidRPr="001175D0" w:rsidTr="001175D0">
        <w:trPr>
          <w:trHeight w:val="135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4. Численность постоянного населения муниципального, городского округа (муниципального района) </w:t>
            </w:r>
            <w:r w:rsidRPr="001175D0">
              <w:rPr>
                <w:b/>
                <w:bCs/>
                <w:color w:val="C00000"/>
                <w:sz w:val="18"/>
                <w:szCs w:val="18"/>
              </w:rPr>
              <w:t>на</w:t>
            </w:r>
            <w:r w:rsidRPr="001175D0">
              <w:rPr>
                <w:color w:val="000000"/>
                <w:sz w:val="18"/>
                <w:szCs w:val="18"/>
              </w:rPr>
              <w:t xml:space="preserve"> </w:t>
            </w:r>
            <w:r w:rsidRPr="001175D0">
              <w:rPr>
                <w:b/>
                <w:bCs/>
                <w:color w:val="C00000"/>
                <w:sz w:val="18"/>
                <w:szCs w:val="18"/>
              </w:rPr>
              <w:t>начало отчетного года</w:t>
            </w:r>
            <w:r w:rsidRPr="001175D0">
              <w:rPr>
                <w:color w:val="000000"/>
                <w:sz w:val="18"/>
                <w:szCs w:val="18"/>
              </w:rPr>
              <w:t>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10 142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10 119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9 665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9 653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9 653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9 637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9 640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   9 617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   9 624   </w:t>
            </w:r>
          </w:p>
        </w:tc>
      </w:tr>
      <w:tr w:rsidR="00280DBB" w:rsidRPr="001175D0" w:rsidTr="001175D0">
        <w:trPr>
          <w:trHeight w:val="9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 xml:space="preserve">5. Число субъектов малого и среднего предпринимательства, ед. на 10 000 чел.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180,85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175D0">
              <w:rPr>
                <w:b/>
                <w:color w:val="000000"/>
                <w:sz w:val="18"/>
                <w:szCs w:val="18"/>
              </w:rPr>
              <w:t>188,37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193,72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193,72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198,13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196,12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201,24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198,61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203,66</w:t>
            </w:r>
          </w:p>
        </w:tc>
      </w:tr>
      <w:tr w:rsidR="00280DBB" w:rsidRPr="001175D0" w:rsidTr="001175D0">
        <w:trPr>
          <w:trHeight w:val="112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6. Среднесписочная численность работников малых и микропредприятий,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175D0">
              <w:rPr>
                <w:bCs/>
                <w:color w:val="000000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91</w:t>
            </w:r>
          </w:p>
        </w:tc>
      </w:tr>
      <w:tr w:rsidR="00280DBB" w:rsidRPr="001175D0" w:rsidTr="001175D0">
        <w:trPr>
          <w:trHeight w:val="100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7. Среднесписочная численность работников у индивидуальных предпринимателей (наемных работников),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60</w:t>
            </w:r>
          </w:p>
        </w:tc>
      </w:tr>
      <w:tr w:rsidR="00280DBB" w:rsidRPr="001175D0" w:rsidTr="001175D0">
        <w:trPr>
          <w:trHeight w:val="112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8. Среднесписочная численность работников средних предприятий,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145</w:t>
            </w:r>
          </w:p>
        </w:tc>
      </w:tr>
      <w:tr w:rsidR="00280DBB" w:rsidRPr="001175D0" w:rsidTr="001175D0">
        <w:trPr>
          <w:trHeight w:val="557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lastRenderedPageBreak/>
              <w:t xml:space="preserve">9. Среднесписочная численность работников (без внешних совместителей) крупных и средних предприятий и некоммерческих организаций (без субъектов малого предпринимательства), чел.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14 545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 15 556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15 664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15 683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15 743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15 713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>15 823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 15 743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color w:val="000000"/>
                <w:sz w:val="18"/>
                <w:szCs w:val="18"/>
              </w:rPr>
            </w:pPr>
            <w:r w:rsidRPr="001175D0">
              <w:rPr>
                <w:color w:val="000000"/>
                <w:sz w:val="18"/>
                <w:szCs w:val="18"/>
              </w:rPr>
              <w:t xml:space="preserve"> 15 902   </w:t>
            </w:r>
          </w:p>
        </w:tc>
      </w:tr>
      <w:tr w:rsidR="00280DBB" w:rsidRPr="001175D0" w:rsidTr="001175D0">
        <w:trPr>
          <w:trHeight w:val="220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 xml:space="preserve">10.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175D0">
              <w:rPr>
                <w:b/>
                <w:color w:val="000000"/>
                <w:sz w:val="18"/>
                <w:szCs w:val="18"/>
              </w:rPr>
              <w:t>2,61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DBB" w:rsidRPr="001175D0" w:rsidRDefault="00280DBB" w:rsidP="00C175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175D0">
              <w:rPr>
                <w:b/>
                <w:bCs/>
                <w:color w:val="000000"/>
                <w:sz w:val="18"/>
                <w:szCs w:val="18"/>
              </w:rPr>
              <w:t>2,78</w:t>
            </w:r>
          </w:p>
        </w:tc>
      </w:tr>
    </w:tbl>
    <w:p w:rsid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>Количество организаций малого предпринимательства в 2021 году составило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 37 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единиц, по прогнозу к 2025 году их количество возрастет до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42 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единицы. 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Количество средних организаций осталось на уровне 2020 года и составляет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1 ед</w:t>
      </w:r>
      <w:r w:rsidRPr="00280DBB">
        <w:rPr>
          <w:rFonts w:ascii="Times New Roman CYR" w:hAnsi="Times New Roman CYR" w:cs="Times New Roman CYR"/>
          <w:sz w:val="26"/>
          <w:szCs w:val="26"/>
        </w:rPr>
        <w:t>. Планируется, что данный показатель в прогнозном периоде останется неизменным.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Количество индивидуальных предпринимателей в 2021 году осталось на том же уровне до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150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человек (в 2020 году осуществляли деятельность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150 </w:t>
      </w:r>
      <w:r w:rsidRPr="00280DBB">
        <w:rPr>
          <w:rFonts w:ascii="Times New Roman CYR" w:hAnsi="Times New Roman CYR" w:cs="Times New Roman CYR"/>
          <w:sz w:val="26"/>
          <w:szCs w:val="26"/>
        </w:rPr>
        <w:t>предпринимателя), по прогнозу к 2025 году их количество возрастет до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 154 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человека. 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В 2021 году среднесписочная численность работников у индивидуальных предпринимателей составила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82 чел</w:t>
      </w:r>
      <w:r w:rsidRPr="00280DBB">
        <w:rPr>
          <w:rFonts w:ascii="Times New Roman CYR" w:hAnsi="Times New Roman CYR" w:cs="Times New Roman CYR"/>
          <w:sz w:val="26"/>
          <w:szCs w:val="26"/>
        </w:rPr>
        <w:t>. В 2022 году планируется увеличение показателя до 86 чел., по прогнозу к 2023 году до 88 чел., к 2024 году до 88 чел., к 2025 году до 91 чел.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Динамика среднесписочной численности работников у индивидуальных предпринимателей представлена на рисунке </w:t>
      </w:r>
      <w:r w:rsidR="00540D77">
        <w:rPr>
          <w:rFonts w:ascii="Times New Roman CYR" w:hAnsi="Times New Roman CYR" w:cs="Times New Roman CYR"/>
          <w:sz w:val="26"/>
          <w:szCs w:val="26"/>
        </w:rPr>
        <w:t>7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80DBB" w:rsidRPr="003706F5" w:rsidRDefault="00280DBB" w:rsidP="00280DB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3706F5"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6208395" cy="2047875"/>
            <wp:effectExtent l="19050" t="0" r="20955" b="0"/>
            <wp:docPr id="229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80DBB" w:rsidRPr="003706F5" w:rsidRDefault="00280DBB" w:rsidP="00280D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3706F5">
        <w:rPr>
          <w:rFonts w:ascii="Times New Roman CYR" w:hAnsi="Times New Roman CYR" w:cs="Times New Roman CYR"/>
          <w:b/>
          <w:bCs/>
        </w:rPr>
        <w:t>Рис.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="00540D77">
        <w:rPr>
          <w:rFonts w:ascii="Times New Roman CYR" w:hAnsi="Times New Roman CYR" w:cs="Times New Roman CYR"/>
          <w:b/>
          <w:bCs/>
        </w:rPr>
        <w:t>7</w:t>
      </w:r>
      <w:r w:rsidRPr="003706F5">
        <w:rPr>
          <w:rFonts w:ascii="Times New Roman CYR" w:hAnsi="Times New Roman CYR" w:cs="Times New Roman CYR"/>
          <w:b/>
          <w:bCs/>
        </w:rPr>
        <w:t>. Динамика среднесписочной численности работников в организациях малого бизнеса и индивидуальных предпринимателей, чел.</w:t>
      </w:r>
    </w:p>
    <w:p w:rsidR="00280DBB" w:rsidRPr="00E120B8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 xml:space="preserve">С учетом численности, работающих у индивидуальных предпринимателей, среднесписочная численность работников малых и средних предприятий в 2021 </w:t>
      </w:r>
      <w:r w:rsidRPr="00280DBB">
        <w:rPr>
          <w:rFonts w:ascii="Times New Roman CYR" w:hAnsi="Times New Roman CYR" w:cs="Times New Roman CYR"/>
          <w:sz w:val="26"/>
          <w:szCs w:val="26"/>
        </w:rPr>
        <w:lastRenderedPageBreak/>
        <w:t xml:space="preserve">году составила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413 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человека, а доля среднесписочной численности работников малых и средних предприятий в среднесписочной численности работников всех предприятий и организаций района по итогам отчетного года составила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2,61%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и уменьшилась на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0,11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процентных пункта по сравнению с 2020 годом</w:t>
      </w: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. </w:t>
      </w:r>
      <w:proofErr w:type="gramEnd"/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По оценке 2022 года данный показатель достигнет значения </w:t>
      </w:r>
      <w:r w:rsidRPr="00280DBB">
        <w:rPr>
          <w:rFonts w:ascii="Times New Roman CYR" w:hAnsi="Times New Roman CYR" w:cs="Times New Roman CYR"/>
          <w:b/>
          <w:color w:val="000000"/>
          <w:sz w:val="26"/>
          <w:szCs w:val="26"/>
        </w:rPr>
        <w:t>2,63%,</w:t>
      </w: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 по прогнозу к 2023 году до </w:t>
      </w:r>
      <w:r w:rsidRPr="00280DBB">
        <w:rPr>
          <w:rFonts w:ascii="Times New Roman CYR" w:hAnsi="Times New Roman CYR" w:cs="Times New Roman CYR"/>
          <w:b/>
          <w:color w:val="000000"/>
          <w:sz w:val="26"/>
          <w:szCs w:val="26"/>
        </w:rPr>
        <w:t>2,71%,</w:t>
      </w: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 по прогнозу 2024-2025 годов показатель будет равен значению до </w:t>
      </w:r>
      <w:r w:rsidRPr="00280DBB"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2,78%.</w:t>
      </w:r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highlight w:val="yellow"/>
        </w:rPr>
      </w:pPr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Динамика данного показателя по годам представлена на рис. </w:t>
      </w:r>
      <w:r w:rsidR="00540D77">
        <w:rPr>
          <w:rFonts w:ascii="Times New Roman CYR" w:hAnsi="Times New Roman CYR" w:cs="Times New Roman CYR"/>
          <w:sz w:val="26"/>
          <w:szCs w:val="26"/>
        </w:rPr>
        <w:t>8</w:t>
      </w:r>
      <w:r w:rsidRPr="00280DBB">
        <w:rPr>
          <w:rFonts w:ascii="Times New Roman CYR" w:hAnsi="Times New Roman CYR" w:cs="Times New Roman CYR"/>
          <w:sz w:val="26"/>
          <w:szCs w:val="26"/>
        </w:rPr>
        <w:t>.</w:t>
      </w:r>
    </w:p>
    <w:p w:rsidR="00280DBB" w:rsidRPr="00280DBB" w:rsidRDefault="00280DBB" w:rsidP="00280DB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80DBB" w:rsidRPr="00C06037" w:rsidRDefault="00280DBB" w:rsidP="00280D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C06037">
        <w:rPr>
          <w:rFonts w:ascii="Times New Roman CYR" w:hAnsi="Times New Roman CYR" w:cs="Times New Roman CYR"/>
          <w:noProof/>
        </w:rPr>
        <w:drawing>
          <wp:inline distT="0" distB="0" distL="0" distR="0">
            <wp:extent cx="6207760" cy="2019300"/>
            <wp:effectExtent l="19050" t="0" r="21590" b="0"/>
            <wp:docPr id="13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80DBB" w:rsidRPr="00C06037" w:rsidRDefault="00280DBB" w:rsidP="00280DBB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  <w:r w:rsidRPr="00C06037">
        <w:rPr>
          <w:rFonts w:ascii="Times New Roman CYR" w:hAnsi="Times New Roman CYR" w:cs="Times New Roman CYR"/>
          <w:b/>
          <w:bCs/>
        </w:rPr>
        <w:t xml:space="preserve">Рис. </w:t>
      </w:r>
      <w:r w:rsidR="00540D77">
        <w:rPr>
          <w:rFonts w:ascii="Times New Roman CYR" w:hAnsi="Times New Roman CYR" w:cs="Times New Roman CYR"/>
          <w:b/>
          <w:bCs/>
        </w:rPr>
        <w:t>8</w:t>
      </w:r>
      <w:r w:rsidRPr="00C06037">
        <w:rPr>
          <w:rFonts w:ascii="Times New Roman CYR" w:hAnsi="Times New Roman CYR" w:cs="Times New Roman CYR"/>
          <w:b/>
          <w:bCs/>
        </w:rPr>
        <w:t>. Доля среднесписочной численности работников (без внешних совместителей) малых и средних предприятий  в среднесписочной численности работников (без внешних совместителей) всех предприятий и организаций, %</w:t>
      </w:r>
    </w:p>
    <w:p w:rsidR="00280DBB" w:rsidRPr="00C06037" w:rsidRDefault="00280DBB" w:rsidP="00280DBB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:rsidR="00280DBB" w:rsidRPr="00280DBB" w:rsidRDefault="00280DBB" w:rsidP="00280DBB">
      <w:pPr>
        <w:ind w:firstLine="567"/>
        <w:jc w:val="both"/>
        <w:outlineLvl w:val="1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 xml:space="preserve">Оборот организаций малого предпринимательства, включая микропредприятия (юридических лиц) в 2021 году составил </w:t>
      </w:r>
      <w:r w:rsidRPr="00280DBB">
        <w:rPr>
          <w:b/>
          <w:color w:val="000000"/>
          <w:sz w:val="26"/>
          <w:szCs w:val="26"/>
        </w:rPr>
        <w:t>118 922,44</w:t>
      </w:r>
      <w:r w:rsidRPr="00280DBB">
        <w:rPr>
          <w:color w:val="000000"/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тыс. руб.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По оценке 2022 года данный показатель увеличится до </w:t>
      </w:r>
      <w:r w:rsidRPr="00280DBB">
        <w:rPr>
          <w:b/>
          <w:color w:val="000000"/>
          <w:sz w:val="26"/>
          <w:szCs w:val="26"/>
        </w:rPr>
        <w:t>140 800,18</w:t>
      </w:r>
      <w:r w:rsidRPr="00280DBB">
        <w:rPr>
          <w:color w:val="000000"/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тыс. руб.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, по прогнозу к 2023 году до </w:t>
      </w:r>
      <w:r w:rsidRPr="00280DBB">
        <w:rPr>
          <w:b/>
          <w:color w:val="000000"/>
          <w:sz w:val="26"/>
          <w:szCs w:val="26"/>
        </w:rPr>
        <w:t xml:space="preserve">154 630,25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тыс. руб.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, по прогнозу 2024 года – </w:t>
      </w:r>
      <w:r w:rsidRPr="00280DBB">
        <w:rPr>
          <w:b/>
          <w:color w:val="000000"/>
          <w:sz w:val="26"/>
          <w:szCs w:val="26"/>
        </w:rPr>
        <w:t xml:space="preserve">162 008,28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тыс. руб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., по прогнозу 2025 года –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168 526,01 тыс. руб.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 </w:t>
      </w:r>
      <w:proofErr w:type="gramEnd"/>
    </w:p>
    <w:p w:rsidR="00540D77" w:rsidRDefault="00540D77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Наглядно динамика оборота организаций малого бизнеса представлена на рисунке </w:t>
      </w:r>
      <w:r w:rsidR="00540D77">
        <w:rPr>
          <w:rFonts w:ascii="Times New Roman CYR" w:hAnsi="Times New Roman CYR" w:cs="Times New Roman CYR"/>
          <w:sz w:val="26"/>
          <w:szCs w:val="26"/>
        </w:rPr>
        <w:t>9</w:t>
      </w:r>
      <w:r w:rsidRPr="00280DBB">
        <w:rPr>
          <w:rFonts w:ascii="Times New Roman CYR" w:hAnsi="Times New Roman CYR" w:cs="Times New Roman CYR"/>
          <w:sz w:val="26"/>
          <w:szCs w:val="26"/>
        </w:rPr>
        <w:t>:</w:t>
      </w:r>
    </w:p>
    <w:p w:rsidR="00280DBB" w:rsidRPr="00C06037" w:rsidRDefault="00280DBB" w:rsidP="00280DB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C06037" w:rsidRDefault="00280DBB" w:rsidP="00280DB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C06037">
        <w:rPr>
          <w:rFonts w:ascii="Times New Roman CYR" w:hAnsi="Times New Roman CYR" w:cs="Times New Roman CYR"/>
          <w:noProof/>
        </w:rPr>
        <w:drawing>
          <wp:inline distT="0" distB="0" distL="0" distR="0">
            <wp:extent cx="6048375" cy="2047875"/>
            <wp:effectExtent l="19050" t="0" r="9525" b="0"/>
            <wp:docPr id="12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80DBB" w:rsidRPr="00C06037" w:rsidRDefault="00280DBB" w:rsidP="00280DBB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</w:rPr>
      </w:pPr>
      <w:r w:rsidRPr="00C06037">
        <w:rPr>
          <w:rFonts w:ascii="Times New Roman CYR" w:hAnsi="Times New Roman CYR" w:cs="Times New Roman CYR"/>
          <w:b/>
          <w:bCs/>
        </w:rPr>
        <w:t xml:space="preserve">Рис. </w:t>
      </w:r>
      <w:r w:rsidR="00540D77">
        <w:rPr>
          <w:rFonts w:ascii="Times New Roman CYR" w:hAnsi="Times New Roman CYR" w:cs="Times New Roman CYR"/>
          <w:b/>
          <w:bCs/>
        </w:rPr>
        <w:t>9</w:t>
      </w:r>
      <w:r w:rsidRPr="00C06037">
        <w:rPr>
          <w:rFonts w:ascii="Times New Roman CYR" w:hAnsi="Times New Roman CYR" w:cs="Times New Roman CYR"/>
          <w:b/>
          <w:bCs/>
        </w:rPr>
        <w:t>. Оборот организаций малого бизнеса (юридических лиц), тыс. руб.</w:t>
      </w:r>
    </w:p>
    <w:p w:rsidR="00280DBB" w:rsidRPr="00E120B8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94067F" w:rsidRPr="0094067F" w:rsidRDefault="001175D0" w:rsidP="001175D0">
      <w:pPr>
        <w:pStyle w:val="1"/>
        <w:numPr>
          <w:ilvl w:val="0"/>
          <w:numId w:val="0"/>
        </w:numPr>
        <w:ind w:left="3403"/>
        <w:jc w:val="left"/>
        <w:rPr>
          <w:sz w:val="28"/>
          <w:szCs w:val="28"/>
        </w:rPr>
      </w:pPr>
      <w:bookmarkStart w:id="7" w:name="_Toc361390354"/>
      <w:bookmarkStart w:id="8" w:name="_Toc49869663"/>
      <w:bookmarkStart w:id="9" w:name="_Toc49869664"/>
      <w:r>
        <w:rPr>
          <w:sz w:val="28"/>
          <w:szCs w:val="28"/>
        </w:rPr>
        <w:t xml:space="preserve">5. </w:t>
      </w:r>
      <w:r w:rsidR="0094067F" w:rsidRPr="0094067F">
        <w:rPr>
          <w:sz w:val="28"/>
          <w:szCs w:val="28"/>
        </w:rPr>
        <w:t>Инвестиции</w:t>
      </w:r>
      <w:bookmarkEnd w:id="9"/>
    </w:p>
    <w:p w:rsidR="0094067F" w:rsidRPr="00A037CD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yellow"/>
          <w:u w:val="single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  <w:u w:val="single"/>
        </w:rPr>
        <w:t>Повышение инвестиционной привлекательности Северо-Енисейского района - это ключевое и приоритетное направление деятельности органов местного самоуправления</w:t>
      </w:r>
      <w:r w:rsidRPr="0094067F">
        <w:rPr>
          <w:rFonts w:ascii="Times New Roman CYR" w:hAnsi="Times New Roman CYR" w:cs="Times New Roman CYR"/>
          <w:sz w:val="26"/>
          <w:szCs w:val="26"/>
        </w:rPr>
        <w:t>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  <w:u w:val="single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lastRenderedPageBreak/>
        <w:t xml:space="preserve">Отдача от освоения золотоносных месторождений района, модернизация, пополнение и обновление основных фондов золотодобывающих предприятий (это, прежде всего, Полюс, Соврудник, Прииск Дражный, Амикан), а также увеличение добычи золота стали ключевыми факторами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интенсивного наращивания в 2021 году объемов промышленного производства в районе</w:t>
      </w:r>
      <w:r w:rsidRPr="0094067F">
        <w:rPr>
          <w:rFonts w:ascii="Times New Roman CYR" w:hAnsi="Times New Roman CYR" w:cs="Times New Roman CYR"/>
          <w:sz w:val="26"/>
          <w:szCs w:val="26"/>
        </w:rPr>
        <w:t>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Объем инвестиций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является показателем успешности развития района, который способствует формированию комфортных условий для непрерывной модернизации производства, постоянного обновления и совершенствования технического парка маши и оборудования, запуска новых производств и т.д.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Так, по данным территориального органа Федеральной службы государственной статистики за 2021 год предприятиями и организациями Северо-Енисейского района инвестировано в основной капитал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26 289 297,00 тыс. рублей.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yellow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>Динамика объема  инвестиций в основной капитал за счет всех  источников финансирования (без субъектов малого предпринимательства и параметров неформальной деятельности) представлена на рисунке 10:</w:t>
      </w:r>
    </w:p>
    <w:p w:rsidR="0094067F" w:rsidRPr="00A037CD" w:rsidRDefault="0094067F" w:rsidP="0094067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94067F" w:rsidRPr="00A037CD" w:rsidRDefault="0094067F" w:rsidP="0094067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  <w:r w:rsidRPr="0010581D"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5838825" cy="2514600"/>
            <wp:effectExtent l="19050" t="0" r="9525" b="0"/>
            <wp:docPr id="10" name="Объект 3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4067F" w:rsidRPr="0010581D" w:rsidRDefault="0094067F" w:rsidP="009406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Cs/>
        </w:rPr>
      </w:pPr>
      <w:r w:rsidRPr="0010581D">
        <w:rPr>
          <w:rFonts w:ascii="Times New Roman CYR" w:hAnsi="Times New Roman CYR" w:cs="Times New Roman CYR"/>
          <w:b/>
          <w:iCs/>
        </w:rPr>
        <w:t>Рис.1</w:t>
      </w:r>
      <w:r w:rsidR="001175D0">
        <w:rPr>
          <w:rFonts w:ascii="Times New Roman CYR" w:hAnsi="Times New Roman CYR" w:cs="Times New Roman CYR"/>
          <w:b/>
          <w:iCs/>
        </w:rPr>
        <w:t>0.</w:t>
      </w:r>
      <w:r w:rsidRPr="0010581D">
        <w:rPr>
          <w:rFonts w:ascii="Times New Roman CYR" w:hAnsi="Times New Roman CYR" w:cs="Times New Roman CYR"/>
          <w:b/>
          <w:iCs/>
        </w:rPr>
        <w:t xml:space="preserve"> Динамика объема инвестиций в основной капитал за счет всех источников финансирования </w:t>
      </w:r>
      <w:r w:rsidRPr="0010581D">
        <w:rPr>
          <w:rFonts w:ascii="Times New Roman CYR" w:hAnsi="Times New Roman CYR" w:cs="Times New Roman CYR"/>
          <w:b/>
        </w:rPr>
        <w:t>(без субъектов малого предпринимательства и параметров неформальной деятельности)</w:t>
      </w:r>
      <w:r w:rsidRPr="0010581D">
        <w:rPr>
          <w:rFonts w:ascii="Times New Roman CYR" w:hAnsi="Times New Roman CYR" w:cs="Times New Roman CYR"/>
          <w:b/>
          <w:iCs/>
        </w:rPr>
        <w:t>, тыс. руб.</w:t>
      </w:r>
    </w:p>
    <w:p w:rsidR="001175D0" w:rsidRDefault="001175D0" w:rsidP="0094067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iCs/>
          <w:sz w:val="26"/>
          <w:szCs w:val="26"/>
        </w:rPr>
      </w:pPr>
      <w:r w:rsidRPr="0094067F">
        <w:rPr>
          <w:sz w:val="26"/>
          <w:szCs w:val="26"/>
        </w:rPr>
        <w:t xml:space="preserve">По оценке 2022 года </w:t>
      </w:r>
      <w:r w:rsidRPr="0094067F">
        <w:rPr>
          <w:iCs/>
          <w:sz w:val="26"/>
          <w:szCs w:val="26"/>
        </w:rPr>
        <w:t xml:space="preserve">объем инвестиций в основной капитал за счет всех источников финансирования </w:t>
      </w:r>
      <w:r w:rsidRPr="0094067F">
        <w:rPr>
          <w:sz w:val="26"/>
          <w:szCs w:val="26"/>
        </w:rPr>
        <w:t xml:space="preserve">(без субъектов малого предпринимательства и параметров неформальной деятельности) составит </w:t>
      </w:r>
      <w:r w:rsidRPr="0094067F">
        <w:rPr>
          <w:b/>
          <w:sz w:val="26"/>
          <w:szCs w:val="26"/>
        </w:rPr>
        <w:t>29 105 008,01 тыс. рублей</w:t>
      </w:r>
      <w:r w:rsidRPr="0094067F">
        <w:rPr>
          <w:sz w:val="26"/>
          <w:szCs w:val="26"/>
        </w:rPr>
        <w:t xml:space="preserve">. По  прогнозу на 2023 год данный показатель составит </w:t>
      </w:r>
      <w:r w:rsidRPr="0094067F">
        <w:rPr>
          <w:b/>
          <w:sz w:val="26"/>
          <w:szCs w:val="26"/>
        </w:rPr>
        <w:t xml:space="preserve">31 200 568,31 тыс. рублей, </w:t>
      </w:r>
      <w:r w:rsidRPr="0094067F">
        <w:rPr>
          <w:sz w:val="26"/>
          <w:szCs w:val="26"/>
        </w:rPr>
        <w:t xml:space="preserve">на 2024 год показатель составит </w:t>
      </w:r>
      <w:r w:rsidRPr="0094067F">
        <w:rPr>
          <w:b/>
          <w:sz w:val="26"/>
          <w:szCs w:val="26"/>
        </w:rPr>
        <w:t xml:space="preserve">32 978 999,53 тыс. рублей, </w:t>
      </w:r>
      <w:r w:rsidRPr="0094067F">
        <w:rPr>
          <w:sz w:val="26"/>
          <w:szCs w:val="26"/>
        </w:rPr>
        <w:t xml:space="preserve">на 2025 год показатель составит </w:t>
      </w:r>
      <w:r w:rsidRPr="0094067F">
        <w:rPr>
          <w:b/>
          <w:sz w:val="26"/>
          <w:szCs w:val="26"/>
        </w:rPr>
        <w:t>34 792 845,40 тыс. рублей.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highlight w:val="yellow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Объем инвестиций в основной капитал за счет всех  источников финансирования по полному кругу хозяйствующих субъектов представлен в таблице </w:t>
      </w:r>
      <w:r w:rsidR="001175D0">
        <w:rPr>
          <w:rFonts w:ascii="Times New Roman CYR" w:hAnsi="Times New Roman CYR" w:cs="Times New Roman CYR"/>
          <w:sz w:val="26"/>
          <w:szCs w:val="26"/>
        </w:rPr>
        <w:t>3</w:t>
      </w:r>
      <w:r w:rsidRPr="0094067F">
        <w:rPr>
          <w:rFonts w:ascii="Times New Roman CYR" w:hAnsi="Times New Roman CYR" w:cs="Times New Roman CYR"/>
          <w:sz w:val="26"/>
          <w:szCs w:val="26"/>
        </w:rPr>
        <w:t>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right"/>
        <w:rPr>
          <w:rFonts w:ascii="Times New Roman CYR" w:hAnsi="Times New Roman CYR" w:cs="Times New Roman CYR"/>
        </w:rPr>
      </w:pPr>
      <w:r w:rsidRPr="0094067F">
        <w:rPr>
          <w:rFonts w:ascii="Times New Roman CYR" w:hAnsi="Times New Roman CYR" w:cs="Times New Roman CYR"/>
        </w:rPr>
        <w:t xml:space="preserve">Таблица </w:t>
      </w:r>
      <w:r w:rsidR="001175D0">
        <w:rPr>
          <w:rFonts w:ascii="Times New Roman CYR" w:hAnsi="Times New Roman CYR" w:cs="Times New Roman CYR"/>
        </w:rPr>
        <w:t>3</w:t>
      </w:r>
      <w:r w:rsidRPr="0094067F">
        <w:rPr>
          <w:rFonts w:ascii="Times New Roman CYR" w:hAnsi="Times New Roman CYR" w:cs="Times New Roman CYR"/>
        </w:rPr>
        <w:t xml:space="preserve"> </w:t>
      </w:r>
    </w:p>
    <w:tbl>
      <w:tblPr>
        <w:tblW w:w="9795" w:type="dxa"/>
        <w:jc w:val="center"/>
        <w:tblInd w:w="-4579" w:type="dxa"/>
        <w:tblLayout w:type="fixed"/>
        <w:tblLook w:val="0000"/>
      </w:tblPr>
      <w:tblGrid>
        <w:gridCol w:w="6251"/>
        <w:gridCol w:w="1276"/>
        <w:gridCol w:w="1134"/>
        <w:gridCol w:w="1134"/>
      </w:tblGrid>
      <w:tr w:rsidR="0094067F" w:rsidRPr="0094067F" w:rsidTr="0094067F">
        <w:trPr>
          <w:trHeight w:val="423"/>
          <w:jc w:val="center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4067F">
              <w:rPr>
                <w:b/>
                <w:bCs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067F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067F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067F">
              <w:rPr>
                <w:b/>
                <w:bCs/>
                <w:sz w:val="20"/>
                <w:szCs w:val="20"/>
              </w:rPr>
              <w:t>2021</w:t>
            </w:r>
          </w:p>
        </w:tc>
      </w:tr>
      <w:tr w:rsidR="0094067F" w:rsidRPr="0094067F" w:rsidTr="0094067F">
        <w:trPr>
          <w:trHeight w:val="930"/>
          <w:jc w:val="center"/>
        </w:trPr>
        <w:tc>
          <w:tcPr>
            <w:tcW w:w="6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94067F">
              <w:rPr>
                <w:rFonts w:ascii="Times New Roman CYR" w:hAnsi="Times New Roman CYR" w:cs="Times New Roman CYR"/>
              </w:rPr>
              <w:t xml:space="preserve">Объем инвестиций в основной капитал за счет всех источников финансирования </w:t>
            </w:r>
            <w:r w:rsidRPr="0094067F">
              <w:rPr>
                <w:rFonts w:ascii="Times New Roman CYR" w:hAnsi="Times New Roman CYR" w:cs="Times New Roman CYR"/>
                <w:b/>
              </w:rPr>
              <w:t>по полному кругу</w:t>
            </w:r>
            <w:r w:rsidRPr="0094067F">
              <w:rPr>
                <w:rFonts w:ascii="Times New Roman CYR" w:hAnsi="Times New Roman CYR" w:cs="Times New Roman CYR"/>
              </w:rPr>
              <w:t xml:space="preserve"> хозяйствующих субъектов (тыс. руб.)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4067F">
              <w:rPr>
                <w:b/>
                <w:sz w:val="20"/>
                <w:szCs w:val="20"/>
              </w:rPr>
              <w:t>17 356 077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4067F">
              <w:rPr>
                <w:b/>
                <w:sz w:val="20"/>
                <w:szCs w:val="20"/>
              </w:rPr>
              <w:t>25 146 002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4067F">
              <w:rPr>
                <w:b/>
                <w:sz w:val="20"/>
                <w:szCs w:val="20"/>
              </w:rPr>
              <w:t>26 289 617</w:t>
            </w:r>
          </w:p>
        </w:tc>
      </w:tr>
    </w:tbl>
    <w:p w:rsidR="0094067F" w:rsidRPr="004938AA" w:rsidRDefault="0094067F" w:rsidP="0094067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  <w:highlight w:val="yellow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lastRenderedPageBreak/>
        <w:t xml:space="preserve">Инвестиции в основной капитал за счет всех источников финансирования по видам экономической деятельности (без субъектов малого предпринимательства), представлены в таблице 5. </w:t>
      </w:r>
    </w:p>
    <w:p w:rsidR="0094067F" w:rsidRPr="0094067F" w:rsidRDefault="0094067F" w:rsidP="0094067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</w:rPr>
      </w:pPr>
      <w:r w:rsidRPr="0094067F">
        <w:rPr>
          <w:rFonts w:ascii="Times New Roman CYR" w:hAnsi="Times New Roman CYR" w:cs="Times New Roman CYR"/>
        </w:rPr>
        <w:t xml:space="preserve">Таблица 5  </w:t>
      </w:r>
    </w:p>
    <w:tbl>
      <w:tblPr>
        <w:tblW w:w="10008" w:type="dxa"/>
        <w:jc w:val="center"/>
        <w:tblInd w:w="-687" w:type="dxa"/>
        <w:tblLayout w:type="fixed"/>
        <w:tblLook w:val="0000"/>
      </w:tblPr>
      <w:tblGrid>
        <w:gridCol w:w="4531"/>
        <w:gridCol w:w="2416"/>
        <w:gridCol w:w="3061"/>
      </w:tblGrid>
      <w:tr w:rsidR="0094067F" w:rsidRPr="0094067F" w:rsidTr="008D4358">
        <w:trPr>
          <w:trHeight w:val="856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предпринимательства), всего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2020 год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2021 год</w:t>
            </w:r>
          </w:p>
        </w:tc>
      </w:tr>
      <w:tr w:rsidR="0094067F" w:rsidRPr="0094067F" w:rsidTr="008D4358">
        <w:trPr>
          <w:trHeight w:val="39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Всего: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25 136 014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b/>
                <w:sz w:val="20"/>
                <w:szCs w:val="20"/>
              </w:rPr>
              <w:t>26 289 297</w:t>
            </w:r>
          </w:p>
        </w:tc>
      </w:tr>
      <w:tr w:rsidR="0094067F" w:rsidRPr="0094067F" w:rsidTr="008D4358">
        <w:trPr>
          <w:trHeight w:val="363"/>
          <w:jc w:val="center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в том числе по видам экономической деятельности: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17 625 653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16 144 333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6 244 353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5 710 978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Строительство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 xml:space="preserve">Торговля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2 164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890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гостинец и предприятий общественного питания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90 874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257 379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472 621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1 249 130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442 279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2 219 175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32 932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213 812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Образование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10 627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6 790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94067F" w:rsidRPr="0094067F" w:rsidTr="008D4358">
        <w:trPr>
          <w:trHeight w:val="31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3 622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67F" w:rsidRPr="0094067F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4067F">
              <w:rPr>
                <w:rFonts w:ascii="Times New Roman CYR" w:hAnsi="Times New Roman CYR" w:cs="Times New Roman CYR"/>
                <w:sz w:val="20"/>
                <w:szCs w:val="20"/>
              </w:rPr>
              <w:t>3 708</w:t>
            </w:r>
          </w:p>
        </w:tc>
      </w:tr>
    </w:tbl>
    <w:p w:rsidR="0094067F" w:rsidRPr="004938AA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>Наибольшая доля инвестиций (</w:t>
      </w:r>
      <w:r w:rsidRPr="0094067F">
        <w:rPr>
          <w:rFonts w:ascii="Times New Roman CYR" w:hAnsi="Times New Roman CYR" w:cs="Times New Roman CYR"/>
          <w:b/>
          <w:sz w:val="26"/>
          <w:szCs w:val="26"/>
        </w:rPr>
        <w:t>61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 xml:space="preserve">,41% 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от общего объема инвестиций за счет всех источников финансирования) приходится на вид экономической деятельности «Добыча полезных ископаемых» и составляет в 2021 году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16 144 333,00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тыс. руб</w:t>
      </w:r>
      <w:r w:rsidRPr="0094067F">
        <w:rPr>
          <w:rFonts w:ascii="Times New Roman CYR" w:hAnsi="Times New Roman CYR" w:cs="Times New Roman CYR"/>
          <w:sz w:val="26"/>
          <w:szCs w:val="26"/>
        </w:rPr>
        <w:t>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По оценке 2022 года объем инвестиций в основной капитал по виду экономической деятельности «Добыча полезных ископаемых» составит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17 952 498,30 тыс. руб.,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а в 2023 году составит </w:t>
      </w:r>
      <w:r w:rsidRPr="0094067F">
        <w:rPr>
          <w:rFonts w:ascii="Times New Roman CYR" w:hAnsi="Times New Roman CYR" w:cs="Times New Roman CYR"/>
          <w:b/>
          <w:sz w:val="26"/>
          <w:szCs w:val="26"/>
        </w:rPr>
        <w:t>19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 245 078,00 тыс. руб.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В 2024 году объем инвестиций в основной капитал составит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20 342 048,00 тыс. руб.,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на  2025 год прогнозируются  –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21 460 860,00 тыс. руб.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Объем инвестиций по виду экономической деятельности «Обрабатывающие производства» составил </w:t>
      </w:r>
      <w:r w:rsidRPr="0094067F">
        <w:rPr>
          <w:rFonts w:ascii="Times New Roman CYR" w:hAnsi="Times New Roman CYR" w:cs="Times New Roman CYR"/>
          <w:b/>
          <w:sz w:val="26"/>
          <w:szCs w:val="26"/>
        </w:rPr>
        <w:t>5 710 978,00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тыс. руб. в 2021 году.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По оценке 2022 года объем инвестиций в основной капитал по виду экономической деятельности «Обрабатывающие производства» составит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6 350 607,54 тыс. руб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., а в 2023 году составит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6 807 851,00 тыс. руб.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В 2024 году объем инвестиций в основной капитал составит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7 195 898,00 тыс. руб.,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на  2025 год прогнозируются  –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7 591 673,00 тыс. руб.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>Главным образом, это инвестиции основных золотодобывающих предприятий района: ООО «Соврудник», АО «Полюс Красноярск», ООО АС «Прииск дражный», ООО ГРК «Амикан». Значение этого показателя связано, прежде всего, с капиталоемкими вложениями золотодобывающих предприятий по реализации действующих инвестиционных проектов.</w:t>
      </w:r>
    </w:p>
    <w:p w:rsidR="0094067F" w:rsidRPr="0094067F" w:rsidRDefault="0094067F" w:rsidP="0094067F">
      <w:pPr>
        <w:ind w:firstLine="567"/>
        <w:jc w:val="both"/>
        <w:rPr>
          <w:sz w:val="26"/>
          <w:szCs w:val="26"/>
        </w:rPr>
      </w:pPr>
      <w:r w:rsidRPr="0094067F">
        <w:rPr>
          <w:sz w:val="26"/>
          <w:szCs w:val="26"/>
        </w:rPr>
        <w:t xml:space="preserve">На территории Северо-Енисейского района золотодобывающими предприятиями  реализуется </w:t>
      </w:r>
      <w:r w:rsidRPr="0094067F">
        <w:rPr>
          <w:b/>
          <w:sz w:val="26"/>
          <w:szCs w:val="26"/>
          <w:u w:val="single"/>
        </w:rPr>
        <w:t>4 крупных инвестиционных проектов по золотодобыче</w:t>
      </w:r>
      <w:r w:rsidRPr="0094067F">
        <w:rPr>
          <w:sz w:val="26"/>
          <w:szCs w:val="26"/>
        </w:rPr>
        <w:t>:</w:t>
      </w:r>
    </w:p>
    <w:p w:rsidR="0094067F" w:rsidRPr="0094067F" w:rsidRDefault="0094067F" w:rsidP="0094067F">
      <w:pPr>
        <w:pStyle w:val="a9"/>
        <w:widowControl w:val="0"/>
        <w:numPr>
          <w:ilvl w:val="0"/>
          <w:numId w:val="9"/>
        </w:numPr>
        <w:pBdr>
          <w:right w:val="none" w:sz="4" w:space="2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u w:val="single"/>
        </w:rPr>
      </w:pPr>
      <w:r w:rsidRPr="0094067F">
        <w:rPr>
          <w:rFonts w:ascii="Times New Roman" w:hAnsi="Times New Roman"/>
          <w:b/>
          <w:bCs/>
          <w:sz w:val="26"/>
          <w:szCs w:val="26"/>
          <w:u w:val="single"/>
        </w:rPr>
        <w:lastRenderedPageBreak/>
        <w:t>АО «Полюс Красноярск»</w:t>
      </w:r>
      <w:r w:rsidRPr="0094067F">
        <w:rPr>
          <w:rFonts w:ascii="Times New Roman" w:hAnsi="Times New Roman"/>
          <w:bCs/>
          <w:sz w:val="26"/>
          <w:szCs w:val="26"/>
          <w:u w:val="single"/>
        </w:rPr>
        <w:t xml:space="preserve"> реализует на территории района </w:t>
      </w:r>
      <w:r w:rsidRPr="0094067F">
        <w:rPr>
          <w:rFonts w:ascii="Times New Roman" w:hAnsi="Times New Roman"/>
          <w:b/>
          <w:bCs/>
          <w:sz w:val="26"/>
          <w:szCs w:val="26"/>
          <w:u w:val="single"/>
        </w:rPr>
        <w:t>2</w:t>
      </w:r>
      <w:r w:rsidRPr="0094067F">
        <w:rPr>
          <w:rFonts w:ascii="Times New Roman" w:hAnsi="Times New Roman"/>
          <w:bCs/>
          <w:sz w:val="26"/>
          <w:szCs w:val="26"/>
          <w:u w:val="single"/>
        </w:rPr>
        <w:t xml:space="preserve"> инвестиционных проекта: </w:t>
      </w:r>
    </w:p>
    <w:p w:rsidR="0094067F" w:rsidRPr="0094067F" w:rsidRDefault="0094067F" w:rsidP="0094067F">
      <w:pPr>
        <w:widowControl w:val="0"/>
        <w:numPr>
          <w:ilvl w:val="0"/>
          <w:numId w:val="8"/>
        </w:numPr>
        <w:pBdr>
          <w:right w:val="none" w:sz="4" w:space="2" w:color="000000"/>
        </w:pBdr>
        <w:ind w:left="0" w:firstLine="567"/>
        <w:jc w:val="both"/>
        <w:rPr>
          <w:bCs/>
          <w:sz w:val="26"/>
          <w:szCs w:val="26"/>
        </w:rPr>
      </w:pPr>
      <w:r w:rsidRPr="0094067F">
        <w:rPr>
          <w:bCs/>
          <w:sz w:val="26"/>
          <w:szCs w:val="26"/>
        </w:rPr>
        <w:t>инвестиционный проект «</w:t>
      </w:r>
      <w:r w:rsidRPr="0094067F">
        <w:rPr>
          <w:bCs/>
          <w:sz w:val="26"/>
          <w:szCs w:val="26"/>
          <w:u w:val="single"/>
        </w:rPr>
        <w:t xml:space="preserve">Увеличение золотодобывающих и золотоизвлекающих мощностей месторождения «Благодатное» (ЗИФ - 5). </w:t>
      </w:r>
      <w:r w:rsidRPr="0094067F">
        <w:rPr>
          <w:bCs/>
          <w:sz w:val="26"/>
          <w:szCs w:val="26"/>
        </w:rPr>
        <w:t>Срок реализации проекта 2021-2028 годы. Проект заключается в строительстве ЗИФ 5 по переработке руды месторождения «</w:t>
      </w:r>
      <w:proofErr w:type="gramStart"/>
      <w:r w:rsidRPr="0094067F">
        <w:rPr>
          <w:bCs/>
          <w:sz w:val="26"/>
          <w:szCs w:val="26"/>
        </w:rPr>
        <w:t>Благодатное</w:t>
      </w:r>
      <w:proofErr w:type="gramEnd"/>
      <w:r w:rsidRPr="0094067F">
        <w:rPr>
          <w:bCs/>
          <w:sz w:val="26"/>
          <w:szCs w:val="26"/>
        </w:rPr>
        <w:t xml:space="preserve">» производительностью 8,3 млн. тонн/год. </w:t>
      </w:r>
    </w:p>
    <w:p w:rsidR="0094067F" w:rsidRPr="0094067F" w:rsidRDefault="0094067F" w:rsidP="0094067F">
      <w:pPr>
        <w:widowControl w:val="0"/>
        <w:numPr>
          <w:ilvl w:val="0"/>
          <w:numId w:val="8"/>
        </w:numPr>
        <w:pBdr>
          <w:right w:val="none" w:sz="4" w:space="2" w:color="000000"/>
        </w:pBdr>
        <w:ind w:left="0" w:firstLine="567"/>
        <w:jc w:val="both"/>
        <w:rPr>
          <w:bCs/>
          <w:sz w:val="26"/>
          <w:szCs w:val="26"/>
        </w:rPr>
      </w:pPr>
      <w:r w:rsidRPr="0094067F">
        <w:rPr>
          <w:bCs/>
          <w:sz w:val="26"/>
          <w:szCs w:val="26"/>
        </w:rPr>
        <w:t>инвестиционный проект «</w:t>
      </w:r>
      <w:r w:rsidRPr="0094067F">
        <w:rPr>
          <w:bCs/>
          <w:sz w:val="26"/>
          <w:szCs w:val="26"/>
          <w:u w:val="single"/>
        </w:rPr>
        <w:t>Реконструкция ЗИФ-1 под переработку руды месторождения «</w:t>
      </w:r>
      <w:proofErr w:type="spellStart"/>
      <w:r w:rsidRPr="0094067F">
        <w:rPr>
          <w:bCs/>
          <w:sz w:val="26"/>
          <w:szCs w:val="26"/>
          <w:u w:val="single"/>
        </w:rPr>
        <w:t>Олимпиадинское</w:t>
      </w:r>
      <w:proofErr w:type="spellEnd"/>
      <w:r w:rsidRPr="0094067F">
        <w:rPr>
          <w:bCs/>
          <w:sz w:val="26"/>
          <w:szCs w:val="26"/>
          <w:u w:val="single"/>
        </w:rPr>
        <w:t>»</w:t>
      </w:r>
      <w:r w:rsidRPr="0094067F">
        <w:rPr>
          <w:bCs/>
          <w:sz w:val="26"/>
          <w:szCs w:val="26"/>
        </w:rPr>
        <w:t>. На ЗИФ-1 (</w:t>
      </w:r>
      <w:r w:rsidRPr="0094067F">
        <w:rPr>
          <w:b/>
          <w:bCs/>
          <w:sz w:val="26"/>
          <w:szCs w:val="26"/>
        </w:rPr>
        <w:t>2,4</w:t>
      </w:r>
      <w:r w:rsidRPr="0094067F">
        <w:rPr>
          <w:bCs/>
          <w:sz w:val="26"/>
          <w:szCs w:val="26"/>
        </w:rPr>
        <w:t xml:space="preserve"> млн. тонн руды) планируется организовать технологическую линию с возможностью переработки руды месторождения «</w:t>
      </w:r>
      <w:proofErr w:type="spellStart"/>
      <w:r w:rsidRPr="0094067F">
        <w:rPr>
          <w:bCs/>
          <w:sz w:val="26"/>
          <w:szCs w:val="26"/>
        </w:rPr>
        <w:t>Олимпиадинское</w:t>
      </w:r>
      <w:proofErr w:type="spellEnd"/>
      <w:r w:rsidRPr="0094067F">
        <w:rPr>
          <w:bCs/>
          <w:sz w:val="26"/>
          <w:szCs w:val="26"/>
        </w:rPr>
        <w:t xml:space="preserve">» с ростом производительности до </w:t>
      </w:r>
      <w:r w:rsidRPr="0094067F">
        <w:rPr>
          <w:b/>
          <w:bCs/>
          <w:sz w:val="26"/>
          <w:szCs w:val="26"/>
        </w:rPr>
        <w:t>3,0</w:t>
      </w:r>
      <w:r w:rsidRPr="0094067F">
        <w:rPr>
          <w:bCs/>
          <w:sz w:val="26"/>
          <w:szCs w:val="26"/>
        </w:rPr>
        <w:t xml:space="preserve"> млн. тонн руды в год;</w:t>
      </w:r>
    </w:p>
    <w:p w:rsidR="0094067F" w:rsidRPr="0094067F" w:rsidRDefault="0094067F" w:rsidP="0094067F">
      <w:pPr>
        <w:widowControl w:val="0"/>
        <w:pBdr>
          <w:right w:val="none" w:sz="4" w:space="2" w:color="000000"/>
        </w:pBdr>
        <w:ind w:left="567"/>
        <w:jc w:val="both"/>
        <w:rPr>
          <w:bCs/>
          <w:sz w:val="26"/>
          <w:szCs w:val="26"/>
        </w:rPr>
      </w:pPr>
    </w:p>
    <w:p w:rsidR="0094067F" w:rsidRPr="0094067F" w:rsidRDefault="0094067F" w:rsidP="0094067F">
      <w:pPr>
        <w:pStyle w:val="a9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4067F">
        <w:rPr>
          <w:rFonts w:ascii="Times New Roman" w:hAnsi="Times New Roman"/>
          <w:b/>
          <w:sz w:val="26"/>
          <w:szCs w:val="26"/>
        </w:rPr>
        <w:t>ООО «</w:t>
      </w:r>
      <w:r w:rsidRPr="0094067F">
        <w:rPr>
          <w:rFonts w:ascii="Times New Roman" w:hAnsi="Times New Roman"/>
          <w:b/>
          <w:sz w:val="26"/>
          <w:szCs w:val="26"/>
          <w:u w:val="single"/>
        </w:rPr>
        <w:t>Соврудник»</w:t>
      </w:r>
      <w:r w:rsidRPr="0094067F">
        <w:rPr>
          <w:rFonts w:ascii="Times New Roman" w:hAnsi="Times New Roman"/>
          <w:sz w:val="26"/>
          <w:szCs w:val="26"/>
        </w:rPr>
        <w:t xml:space="preserve"> реализует масштабный </w:t>
      </w:r>
      <w:r w:rsidRPr="0094067F">
        <w:rPr>
          <w:rFonts w:ascii="Times New Roman" w:hAnsi="Times New Roman"/>
          <w:b/>
          <w:sz w:val="26"/>
          <w:szCs w:val="26"/>
        </w:rPr>
        <w:t xml:space="preserve">инвестиционный проект </w:t>
      </w:r>
      <w:r w:rsidRPr="0094067F">
        <w:rPr>
          <w:rFonts w:ascii="Times New Roman" w:hAnsi="Times New Roman"/>
          <w:b/>
          <w:sz w:val="26"/>
          <w:szCs w:val="26"/>
          <w:u w:val="single"/>
        </w:rPr>
        <w:t>«О</w:t>
      </w:r>
      <w:r w:rsidRPr="0094067F">
        <w:rPr>
          <w:rFonts w:ascii="Times New Roman" w:hAnsi="Times New Roman"/>
          <w:b/>
          <w:bCs/>
          <w:sz w:val="26"/>
          <w:szCs w:val="26"/>
          <w:u w:val="single"/>
        </w:rPr>
        <w:t>своение золоторудных месторождений Нойбинской площади Северо-Енисейского района Красноярского края».</w:t>
      </w:r>
      <w:r w:rsidRPr="0094067F">
        <w:rPr>
          <w:rFonts w:ascii="Times New Roman" w:hAnsi="Times New Roman"/>
          <w:b/>
          <w:sz w:val="26"/>
          <w:szCs w:val="26"/>
        </w:rPr>
        <w:t xml:space="preserve"> </w:t>
      </w:r>
    </w:p>
    <w:p w:rsidR="0094067F" w:rsidRPr="0094067F" w:rsidRDefault="0094067F" w:rsidP="0094067F">
      <w:pPr>
        <w:widowControl w:val="0"/>
        <w:ind w:firstLine="567"/>
        <w:jc w:val="both"/>
        <w:rPr>
          <w:sz w:val="26"/>
          <w:szCs w:val="26"/>
        </w:rPr>
      </w:pPr>
      <w:r w:rsidRPr="0094067F">
        <w:rPr>
          <w:sz w:val="26"/>
          <w:szCs w:val="26"/>
        </w:rPr>
        <w:t xml:space="preserve">Проект предусматривает освоение месторождений </w:t>
      </w:r>
      <w:r w:rsidRPr="0094067F">
        <w:rPr>
          <w:b/>
          <w:bCs/>
          <w:sz w:val="26"/>
          <w:szCs w:val="26"/>
        </w:rPr>
        <w:t>«Высокое», «Золотое»</w:t>
      </w:r>
      <w:r w:rsidRPr="0094067F">
        <w:rPr>
          <w:sz w:val="26"/>
          <w:szCs w:val="26"/>
        </w:rPr>
        <w:t xml:space="preserve">, создание на их базе современного горно-обогатительного комбината производительностью по переработке руды </w:t>
      </w:r>
      <w:r w:rsidRPr="0094067F">
        <w:rPr>
          <w:b/>
          <w:bCs/>
          <w:sz w:val="26"/>
          <w:szCs w:val="26"/>
        </w:rPr>
        <w:t xml:space="preserve">до 5 млн. т </w:t>
      </w:r>
      <w:r w:rsidRPr="0094067F">
        <w:rPr>
          <w:bCs/>
          <w:sz w:val="26"/>
          <w:szCs w:val="26"/>
        </w:rPr>
        <w:t>и</w:t>
      </w:r>
      <w:r w:rsidRPr="0094067F">
        <w:rPr>
          <w:sz w:val="26"/>
          <w:szCs w:val="26"/>
        </w:rPr>
        <w:t xml:space="preserve"> производству более </w:t>
      </w:r>
      <w:r w:rsidRPr="0094067F">
        <w:rPr>
          <w:b/>
          <w:bCs/>
          <w:sz w:val="26"/>
          <w:szCs w:val="26"/>
        </w:rPr>
        <w:t>5 тонн</w:t>
      </w:r>
      <w:r w:rsidRPr="0094067F">
        <w:rPr>
          <w:sz w:val="26"/>
          <w:szCs w:val="26"/>
        </w:rPr>
        <w:t xml:space="preserve"> </w:t>
      </w:r>
      <w:r w:rsidRPr="0094067F">
        <w:rPr>
          <w:b/>
          <w:sz w:val="26"/>
          <w:szCs w:val="26"/>
        </w:rPr>
        <w:t>золота ежегодно.</w:t>
      </w:r>
    </w:p>
    <w:p w:rsidR="0094067F" w:rsidRPr="0094067F" w:rsidRDefault="0094067F" w:rsidP="0094067F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4067F">
        <w:rPr>
          <w:rFonts w:ascii="Times New Roman" w:hAnsi="Times New Roman"/>
          <w:sz w:val="26"/>
          <w:szCs w:val="26"/>
        </w:rPr>
        <w:t xml:space="preserve">На территории месторождения «Высокое» проведен комплекс изысканий: инженерно-экологические, </w:t>
      </w:r>
      <w:proofErr w:type="spellStart"/>
      <w:r w:rsidRPr="0094067F">
        <w:rPr>
          <w:rFonts w:ascii="Times New Roman" w:hAnsi="Times New Roman"/>
          <w:sz w:val="26"/>
          <w:szCs w:val="26"/>
        </w:rPr>
        <w:t>иженерно-геодезические</w:t>
      </w:r>
      <w:proofErr w:type="spellEnd"/>
      <w:r w:rsidRPr="0094067F">
        <w:rPr>
          <w:rFonts w:ascii="Times New Roman" w:hAnsi="Times New Roman"/>
          <w:sz w:val="26"/>
          <w:szCs w:val="26"/>
        </w:rPr>
        <w:t xml:space="preserve">, геологические и гидрологические. Ведется строительство инфраструктуры -  автомобильных дорог, линий электропередач, вахтового поселка, а затем начнется </w:t>
      </w:r>
      <w:r w:rsidRPr="0094067F">
        <w:rPr>
          <w:rFonts w:ascii="Times New Roman" w:hAnsi="Times New Roman"/>
          <w:b/>
          <w:sz w:val="26"/>
          <w:szCs w:val="26"/>
        </w:rPr>
        <w:t>строительство</w:t>
      </w:r>
      <w:r w:rsidRPr="0094067F">
        <w:rPr>
          <w:rFonts w:ascii="Times New Roman" w:hAnsi="Times New Roman"/>
          <w:sz w:val="26"/>
          <w:szCs w:val="26"/>
        </w:rPr>
        <w:t xml:space="preserve"> золотоизвлекательной фабрики «Высокое» и объектов промышленной площадки.</w:t>
      </w:r>
    </w:p>
    <w:p w:rsidR="0094067F" w:rsidRPr="0094067F" w:rsidRDefault="0094067F" w:rsidP="0094067F">
      <w:pPr>
        <w:widowControl w:val="0"/>
        <w:ind w:firstLine="567"/>
        <w:jc w:val="both"/>
        <w:rPr>
          <w:sz w:val="26"/>
          <w:szCs w:val="26"/>
        </w:rPr>
      </w:pPr>
      <w:r w:rsidRPr="0094067F">
        <w:rPr>
          <w:sz w:val="26"/>
          <w:szCs w:val="26"/>
        </w:rPr>
        <w:t>Основные показатели деятельности по отработке месторождения рудного золота «Высокое»:</w:t>
      </w:r>
    </w:p>
    <w:p w:rsidR="0094067F" w:rsidRPr="0094067F" w:rsidRDefault="0094067F" w:rsidP="0094067F">
      <w:pPr>
        <w:widowControl w:val="0"/>
        <w:numPr>
          <w:ilvl w:val="0"/>
          <w:numId w:val="4"/>
        </w:numPr>
        <w:tabs>
          <w:tab w:val="clear" w:pos="1287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94067F">
        <w:rPr>
          <w:sz w:val="26"/>
          <w:szCs w:val="26"/>
        </w:rPr>
        <w:t xml:space="preserve">годовая проектная мощность – </w:t>
      </w:r>
      <w:r w:rsidRPr="0094067F">
        <w:rPr>
          <w:b/>
          <w:sz w:val="26"/>
          <w:szCs w:val="26"/>
        </w:rPr>
        <w:t>3 600,0 тыс. тонн руды в год;</w:t>
      </w:r>
    </w:p>
    <w:p w:rsidR="0094067F" w:rsidRPr="0094067F" w:rsidRDefault="0094067F" w:rsidP="0094067F">
      <w:pPr>
        <w:widowControl w:val="0"/>
        <w:numPr>
          <w:ilvl w:val="0"/>
          <w:numId w:val="4"/>
        </w:numPr>
        <w:tabs>
          <w:tab w:val="clear" w:pos="1287"/>
          <w:tab w:val="num" w:pos="0"/>
        </w:tabs>
        <w:ind w:left="0" w:firstLine="567"/>
        <w:jc w:val="both"/>
        <w:rPr>
          <w:sz w:val="26"/>
          <w:szCs w:val="26"/>
        </w:rPr>
      </w:pPr>
      <w:r w:rsidRPr="0094067F">
        <w:rPr>
          <w:sz w:val="26"/>
          <w:szCs w:val="26"/>
        </w:rPr>
        <w:t xml:space="preserve">продолжительность отработки – </w:t>
      </w:r>
      <w:r w:rsidRPr="0094067F">
        <w:rPr>
          <w:b/>
          <w:sz w:val="26"/>
          <w:szCs w:val="26"/>
        </w:rPr>
        <w:t>11 лет</w:t>
      </w:r>
      <w:r w:rsidRPr="0094067F">
        <w:rPr>
          <w:sz w:val="26"/>
          <w:szCs w:val="26"/>
        </w:rPr>
        <w:t>;</w:t>
      </w:r>
    </w:p>
    <w:p w:rsidR="0094067F" w:rsidRPr="0094067F" w:rsidRDefault="0094067F" w:rsidP="0094067F">
      <w:pPr>
        <w:widowControl w:val="0"/>
        <w:numPr>
          <w:ilvl w:val="0"/>
          <w:numId w:val="4"/>
        </w:numPr>
        <w:tabs>
          <w:tab w:val="clear" w:pos="1287"/>
          <w:tab w:val="num" w:pos="0"/>
        </w:tabs>
        <w:ind w:left="0" w:firstLine="567"/>
        <w:jc w:val="both"/>
        <w:rPr>
          <w:sz w:val="26"/>
          <w:szCs w:val="26"/>
        </w:rPr>
      </w:pPr>
      <w:r w:rsidRPr="0094067F">
        <w:rPr>
          <w:sz w:val="26"/>
          <w:szCs w:val="26"/>
        </w:rPr>
        <w:t xml:space="preserve">геологические запасы руд – </w:t>
      </w:r>
      <w:r w:rsidRPr="0094067F">
        <w:rPr>
          <w:b/>
          <w:sz w:val="26"/>
          <w:szCs w:val="26"/>
        </w:rPr>
        <w:t>36 378,0 тыс. тонн</w:t>
      </w:r>
      <w:r w:rsidRPr="0094067F">
        <w:rPr>
          <w:sz w:val="26"/>
          <w:szCs w:val="26"/>
        </w:rPr>
        <w:t>;</w:t>
      </w:r>
    </w:p>
    <w:p w:rsidR="0094067F" w:rsidRPr="0094067F" w:rsidRDefault="0094067F" w:rsidP="0094067F">
      <w:pPr>
        <w:widowControl w:val="0"/>
        <w:numPr>
          <w:ilvl w:val="0"/>
          <w:numId w:val="4"/>
        </w:numPr>
        <w:tabs>
          <w:tab w:val="clear" w:pos="1287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94067F">
        <w:rPr>
          <w:sz w:val="26"/>
          <w:szCs w:val="26"/>
        </w:rPr>
        <w:t xml:space="preserve">общая численность работников (на момент достижения максимальной производительности) – </w:t>
      </w:r>
      <w:r w:rsidRPr="0094067F">
        <w:rPr>
          <w:b/>
          <w:sz w:val="26"/>
          <w:szCs w:val="26"/>
        </w:rPr>
        <w:t>1 200 чел.</w:t>
      </w:r>
    </w:p>
    <w:p w:rsidR="0094067F" w:rsidRPr="0094067F" w:rsidRDefault="0094067F" w:rsidP="0094067F">
      <w:pPr>
        <w:pStyle w:val="a9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4067F">
        <w:rPr>
          <w:rFonts w:ascii="Times New Roman" w:hAnsi="Times New Roman"/>
          <w:sz w:val="26"/>
          <w:szCs w:val="26"/>
        </w:rPr>
        <w:t>Предприятие приступило к разработке карьера на месторождении «Золотое», это позволит предприятию ООО «</w:t>
      </w:r>
      <w:r w:rsidRPr="0094067F">
        <w:rPr>
          <w:rFonts w:ascii="Times New Roman" w:hAnsi="Times New Roman"/>
          <w:sz w:val="26"/>
          <w:szCs w:val="26"/>
          <w:u w:val="single"/>
        </w:rPr>
        <w:t>Соврудник»</w:t>
      </w:r>
      <w:r w:rsidRPr="0094067F">
        <w:rPr>
          <w:rFonts w:ascii="Times New Roman" w:hAnsi="Times New Roman"/>
          <w:sz w:val="26"/>
          <w:szCs w:val="26"/>
        </w:rPr>
        <w:t xml:space="preserve"> ежегодно добывать более </w:t>
      </w:r>
      <w:r w:rsidRPr="0094067F">
        <w:rPr>
          <w:rFonts w:ascii="Times New Roman" w:hAnsi="Times New Roman"/>
          <w:b/>
          <w:sz w:val="26"/>
          <w:szCs w:val="26"/>
          <w:u w:val="single"/>
        </w:rPr>
        <w:t>11 тонн золота в год</w:t>
      </w:r>
      <w:r w:rsidRPr="0094067F">
        <w:rPr>
          <w:rFonts w:ascii="Times New Roman" w:hAnsi="Times New Roman"/>
          <w:b/>
          <w:sz w:val="26"/>
          <w:szCs w:val="26"/>
        </w:rPr>
        <w:t>.</w:t>
      </w:r>
      <w:r w:rsidRPr="0094067F">
        <w:rPr>
          <w:rFonts w:ascii="Times New Roman" w:hAnsi="Times New Roman"/>
          <w:sz w:val="26"/>
          <w:szCs w:val="26"/>
        </w:rPr>
        <w:t xml:space="preserve"> </w:t>
      </w:r>
    </w:p>
    <w:p w:rsidR="0094067F" w:rsidRPr="0094067F" w:rsidRDefault="0094067F" w:rsidP="0094067F">
      <w:pPr>
        <w:pStyle w:val="a9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94067F" w:rsidRPr="0094067F" w:rsidRDefault="0094067F" w:rsidP="001175D0">
      <w:pPr>
        <w:pStyle w:val="a9"/>
        <w:widowControl w:val="0"/>
        <w:numPr>
          <w:ilvl w:val="0"/>
          <w:numId w:val="9"/>
        </w:numPr>
        <w:pBdr>
          <w:left w:val="none" w:sz="4" w:space="0" w:color="000000"/>
          <w:bottom w:val="none" w:sz="4" w:space="2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94067F">
        <w:rPr>
          <w:rFonts w:ascii="Times New Roman" w:hAnsi="Times New Roman"/>
          <w:sz w:val="26"/>
          <w:szCs w:val="26"/>
        </w:rPr>
        <w:t xml:space="preserve">Золотодобывающее предприятие </w:t>
      </w:r>
      <w:r w:rsidRPr="0094067F">
        <w:rPr>
          <w:rFonts w:ascii="Times New Roman" w:hAnsi="Times New Roman"/>
          <w:b/>
          <w:sz w:val="26"/>
          <w:szCs w:val="26"/>
        </w:rPr>
        <w:t>ООО «Амикан»</w:t>
      </w:r>
      <w:r w:rsidRPr="0094067F">
        <w:rPr>
          <w:rFonts w:ascii="Times New Roman" w:hAnsi="Times New Roman"/>
          <w:sz w:val="26"/>
          <w:szCs w:val="26"/>
        </w:rPr>
        <w:t xml:space="preserve"> реализует </w:t>
      </w:r>
      <w:r w:rsidRPr="0094067F">
        <w:rPr>
          <w:rFonts w:ascii="Times New Roman" w:hAnsi="Times New Roman"/>
          <w:sz w:val="26"/>
          <w:szCs w:val="26"/>
          <w:u w:val="single"/>
        </w:rPr>
        <w:t>1 инвестиционный проек</w:t>
      </w:r>
      <w:r w:rsidRPr="0094067F">
        <w:rPr>
          <w:rFonts w:ascii="Times New Roman" w:hAnsi="Times New Roman"/>
          <w:sz w:val="26"/>
          <w:szCs w:val="26"/>
        </w:rPr>
        <w:t xml:space="preserve">т, </w:t>
      </w:r>
      <w:r w:rsidRPr="0094067F">
        <w:rPr>
          <w:rFonts w:ascii="Times New Roman" w:hAnsi="Times New Roman"/>
          <w:b/>
          <w:sz w:val="26"/>
          <w:szCs w:val="26"/>
          <w:u w:val="single"/>
        </w:rPr>
        <w:t>«Строительство горнодобывающего предприятия на базе золоторудного месторождения «Ведугинское».</w:t>
      </w:r>
    </w:p>
    <w:p w:rsidR="0094067F" w:rsidRPr="0094067F" w:rsidRDefault="0094067F" w:rsidP="001175D0">
      <w:pPr>
        <w:pStyle w:val="a9"/>
        <w:pBdr>
          <w:left w:val="none" w:sz="4" w:space="0" w:color="000000"/>
          <w:bottom w:val="none" w:sz="4" w:space="2" w:color="000000"/>
        </w:pBd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4067F">
        <w:rPr>
          <w:rFonts w:ascii="Times New Roman" w:hAnsi="Times New Roman"/>
          <w:sz w:val="26"/>
          <w:szCs w:val="26"/>
        </w:rPr>
        <w:t xml:space="preserve">В соответствии с инвестиционным проектом, планируется разработка и освоение запасов золоторудного месторождения «Ведугинское» подземным способом. 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Динамика инвестиций в основной капитал за счет всех источников финансирования (без субъектов малого предпринимательства),  представлена в таблице </w:t>
      </w:r>
      <w:r w:rsidR="001175D0">
        <w:rPr>
          <w:rFonts w:ascii="Times New Roman CYR" w:hAnsi="Times New Roman CYR" w:cs="Times New Roman CYR"/>
          <w:sz w:val="26"/>
          <w:szCs w:val="26"/>
        </w:rPr>
        <w:t>4.</w:t>
      </w:r>
    </w:p>
    <w:p w:rsidR="0094067F" w:rsidRPr="0094067F" w:rsidRDefault="0094067F" w:rsidP="0094067F">
      <w:pPr>
        <w:autoSpaceDE w:val="0"/>
        <w:autoSpaceDN w:val="0"/>
        <w:adjustRightInd w:val="0"/>
        <w:ind w:firstLine="709"/>
        <w:jc w:val="right"/>
        <w:rPr>
          <w:rFonts w:ascii="Times New Roman CYR" w:hAnsi="Times New Roman CYR" w:cs="Times New Roman CYR"/>
        </w:rPr>
      </w:pPr>
      <w:r w:rsidRPr="0094067F">
        <w:rPr>
          <w:rFonts w:ascii="Times New Roman CYR" w:hAnsi="Times New Roman CYR" w:cs="Times New Roman CYR"/>
        </w:rPr>
        <w:t xml:space="preserve">Таблица </w:t>
      </w:r>
      <w:r w:rsidR="001175D0">
        <w:rPr>
          <w:rFonts w:ascii="Times New Roman CYR" w:hAnsi="Times New Roman CYR" w:cs="Times New Roman CYR"/>
        </w:rPr>
        <w:t>4</w:t>
      </w:r>
      <w:r w:rsidRPr="0094067F">
        <w:rPr>
          <w:rFonts w:ascii="Times New Roman CYR" w:hAnsi="Times New Roman CYR" w:cs="Times New Roman CYR"/>
        </w:rPr>
        <w:t xml:space="preserve"> </w:t>
      </w: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93"/>
        <w:gridCol w:w="1160"/>
        <w:gridCol w:w="1276"/>
        <w:gridCol w:w="1275"/>
        <w:gridCol w:w="1276"/>
        <w:gridCol w:w="1276"/>
      </w:tblGrid>
      <w:tr w:rsidR="0094067F" w:rsidRPr="003C0B45" w:rsidTr="00E642C3">
        <w:trPr>
          <w:trHeight w:val="343"/>
        </w:trPr>
        <w:tc>
          <w:tcPr>
            <w:tcW w:w="3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ind w:left="6" w:hanging="6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Наименование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ind w:left="6" w:hanging="6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показателя</w:t>
            </w:r>
          </w:p>
        </w:tc>
        <w:tc>
          <w:tcPr>
            <w:tcW w:w="626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Значения показателя</w:t>
            </w:r>
          </w:p>
        </w:tc>
      </w:tr>
      <w:tr w:rsidR="0094067F" w:rsidRPr="003C0B45" w:rsidTr="00E642C3">
        <w:trPr>
          <w:trHeight w:val="559"/>
        </w:trPr>
        <w:tc>
          <w:tcPr>
            <w:tcW w:w="30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2021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2022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2023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прогноз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2024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прогноз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2025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b/>
                <w:sz w:val="20"/>
                <w:szCs w:val="20"/>
              </w:rPr>
              <w:t>прогноз</w:t>
            </w:r>
          </w:p>
        </w:tc>
      </w:tr>
      <w:tr w:rsidR="0094067F" w:rsidRPr="003C0B45" w:rsidTr="0094067F">
        <w:trPr>
          <w:trHeight w:val="1222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1. Объем инвестиций в основной капитал за счет всех источников финансирования (без субъектов малого предпринимательства), тыс. руб.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sz w:val="17"/>
                <w:szCs w:val="17"/>
              </w:rPr>
              <w:t>26 289 617,00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sz w:val="17"/>
                <w:szCs w:val="17"/>
              </w:rPr>
              <w:t>29 105 508,01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sz w:val="17"/>
                <w:szCs w:val="17"/>
              </w:rPr>
              <w:t>31 201 068,31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sz w:val="17"/>
                <w:szCs w:val="17"/>
              </w:rPr>
              <w:t>32 979 499,53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sz w:val="17"/>
                <w:szCs w:val="17"/>
              </w:rPr>
              <w:t>34 793 345,40</w:t>
            </w:r>
          </w:p>
        </w:tc>
      </w:tr>
      <w:tr w:rsidR="0094067F" w:rsidRPr="003C0B45" w:rsidTr="00E642C3">
        <w:trPr>
          <w:trHeight w:val="729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>2. Инвестиции в основной капитал за счет бюджетных средств,  тыс. руб.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351 011,00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390 324,23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442 121,00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467 322,50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493 027,00</w:t>
            </w:r>
          </w:p>
        </w:tc>
      </w:tr>
      <w:tr w:rsidR="0094067F" w:rsidRPr="003C0B45" w:rsidTr="0094067F">
        <w:trPr>
          <w:trHeight w:val="840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>3. Объем инвестиций без бюджетных средств, тыс. руб.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 xml:space="preserve"> (стр. 1 – стр. 2)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25 938 606,00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28 715 183,78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30 758 947,31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32 512 177,03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34 300 318,40</w:t>
            </w:r>
          </w:p>
        </w:tc>
      </w:tr>
      <w:tr w:rsidR="0094067F" w:rsidRPr="003C0B45" w:rsidTr="001175D0">
        <w:trPr>
          <w:trHeight w:val="442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>4. Среднегодовая численность населения, чел.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9 892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9 659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9 647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9 632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9 616</w:t>
            </w:r>
          </w:p>
        </w:tc>
      </w:tr>
      <w:tr w:rsidR="0094067F" w:rsidRPr="003C0B45" w:rsidTr="00E642C3">
        <w:trPr>
          <w:trHeight w:val="1086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 xml:space="preserve">5. Объем инвестиций в основной капитал (за исключением бюджетных средств) в </w:t>
            </w:r>
            <w:proofErr w:type="gramStart"/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>расчете</w:t>
            </w:r>
            <w:proofErr w:type="gramEnd"/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1 человека населения, руб.</w:t>
            </w:r>
          </w:p>
          <w:p w:rsidR="0094067F" w:rsidRPr="003C0B45" w:rsidRDefault="0094067F" w:rsidP="008D4358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C0B45">
              <w:rPr>
                <w:rFonts w:ascii="Times New Roman CYR" w:hAnsi="Times New Roman CYR" w:cs="Times New Roman CYR"/>
                <w:sz w:val="20"/>
                <w:szCs w:val="20"/>
              </w:rPr>
              <w:t xml:space="preserve"> (стр. 3/стр. 4)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2 622 180,15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2 972 894,07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3 188 446,91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3 375 433,66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67F" w:rsidRPr="003C0B45" w:rsidRDefault="0094067F" w:rsidP="008D43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</w:pPr>
            <w:r w:rsidRPr="003C0B45">
              <w:rPr>
                <w:rFonts w:ascii="Times New Roman CYR" w:hAnsi="Times New Roman CYR" w:cs="Times New Roman CYR"/>
                <w:b/>
                <w:bCs/>
                <w:sz w:val="17"/>
                <w:szCs w:val="17"/>
              </w:rPr>
              <w:t>3 567 004,83</w:t>
            </w:r>
          </w:p>
        </w:tc>
      </w:tr>
    </w:tbl>
    <w:p w:rsidR="0094067F" w:rsidRPr="004938AA" w:rsidRDefault="0094067F" w:rsidP="0094067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Объем инвестиций в основной капитал (за исключением бюджетных средств) в </w:t>
      </w:r>
      <w:proofErr w:type="gramStart"/>
      <w:r w:rsidRPr="0094067F">
        <w:rPr>
          <w:rFonts w:ascii="Times New Roman CYR" w:hAnsi="Times New Roman CYR" w:cs="Times New Roman CYR"/>
          <w:sz w:val="26"/>
          <w:szCs w:val="26"/>
        </w:rPr>
        <w:t>расчете</w:t>
      </w:r>
      <w:proofErr w:type="gramEnd"/>
      <w:r w:rsidRPr="0094067F">
        <w:rPr>
          <w:rFonts w:ascii="Times New Roman CYR" w:hAnsi="Times New Roman CYR" w:cs="Times New Roman CYR"/>
          <w:sz w:val="26"/>
          <w:szCs w:val="26"/>
        </w:rPr>
        <w:t xml:space="preserve"> на одного жителя (рублей) наглядно представлен на рис.1</w:t>
      </w:r>
      <w:r w:rsidR="001175D0">
        <w:rPr>
          <w:rFonts w:ascii="Times New Roman CYR" w:hAnsi="Times New Roman CYR" w:cs="Times New Roman CYR"/>
          <w:sz w:val="26"/>
          <w:szCs w:val="26"/>
        </w:rPr>
        <w:t>1</w:t>
      </w:r>
      <w:r w:rsidRPr="0094067F">
        <w:rPr>
          <w:rFonts w:ascii="Times New Roman CYR" w:hAnsi="Times New Roman CYR" w:cs="Times New Roman CYR"/>
          <w:sz w:val="26"/>
          <w:szCs w:val="26"/>
        </w:rPr>
        <w:t>.</w:t>
      </w:r>
    </w:p>
    <w:p w:rsidR="0094067F" w:rsidRPr="00A037CD" w:rsidRDefault="0094067F" w:rsidP="0094067F">
      <w:pPr>
        <w:autoSpaceDE w:val="0"/>
        <w:autoSpaceDN w:val="0"/>
        <w:adjustRightInd w:val="0"/>
        <w:ind w:firstLine="708"/>
        <w:rPr>
          <w:rFonts w:ascii="Times New Roman CYR" w:hAnsi="Times New Roman CYR" w:cs="Times New Roman CYR"/>
          <w:sz w:val="16"/>
          <w:szCs w:val="16"/>
          <w:highlight w:val="yellow"/>
        </w:rPr>
      </w:pPr>
    </w:p>
    <w:p w:rsidR="0094067F" w:rsidRPr="00A037CD" w:rsidRDefault="0094067F" w:rsidP="009406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highlight w:val="yellow"/>
        </w:rPr>
      </w:pPr>
      <w:r w:rsidRPr="0010581D">
        <w:rPr>
          <w:rFonts w:ascii="Times New Roman CYR" w:hAnsi="Times New Roman CYR" w:cs="Times New Roman CYR"/>
          <w:noProof/>
        </w:rPr>
        <w:drawing>
          <wp:inline distT="0" distB="0" distL="0" distR="0">
            <wp:extent cx="5924550" cy="2171700"/>
            <wp:effectExtent l="19050" t="0" r="19050" b="0"/>
            <wp:docPr id="1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4067F" w:rsidRPr="0010581D" w:rsidRDefault="0094067F" w:rsidP="0094067F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</w:rPr>
      </w:pPr>
      <w:r w:rsidRPr="0010581D">
        <w:rPr>
          <w:rFonts w:ascii="Times New Roman CYR" w:hAnsi="Times New Roman CYR" w:cs="Times New Roman CYR"/>
          <w:b/>
        </w:rPr>
        <w:t>Рис. 1</w:t>
      </w:r>
      <w:r w:rsidR="001175D0">
        <w:rPr>
          <w:rFonts w:ascii="Times New Roman CYR" w:hAnsi="Times New Roman CYR" w:cs="Times New Roman CYR"/>
          <w:b/>
        </w:rPr>
        <w:t>1</w:t>
      </w:r>
      <w:r w:rsidRPr="0010581D">
        <w:rPr>
          <w:rFonts w:ascii="Times New Roman CYR" w:hAnsi="Times New Roman CYR" w:cs="Times New Roman CYR"/>
          <w:b/>
        </w:rPr>
        <w:t xml:space="preserve">. Объем инвестиций в основной капитал (за исключением бюджетных средств) в </w:t>
      </w:r>
      <w:proofErr w:type="gramStart"/>
      <w:r w:rsidRPr="0010581D">
        <w:rPr>
          <w:rFonts w:ascii="Times New Roman CYR" w:hAnsi="Times New Roman CYR" w:cs="Times New Roman CYR"/>
          <w:b/>
        </w:rPr>
        <w:t>расчете</w:t>
      </w:r>
      <w:proofErr w:type="gramEnd"/>
      <w:r w:rsidRPr="0010581D">
        <w:rPr>
          <w:rFonts w:ascii="Times New Roman CYR" w:hAnsi="Times New Roman CYR" w:cs="Times New Roman CYR"/>
          <w:b/>
        </w:rPr>
        <w:t xml:space="preserve"> на 1 жителя, руб.</w:t>
      </w:r>
    </w:p>
    <w:p w:rsidR="0094067F" w:rsidRPr="00A037CD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 xml:space="preserve">За 2021 год объем инвестиций (без бюджетных средств) на 1 жителя составил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 xml:space="preserve">2 622 180,15 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руб. </w:t>
      </w:r>
    </w:p>
    <w:p w:rsidR="0094067F" w:rsidRPr="0094067F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>По оценке, в 2022 году объем инвестиций (без бюджетных средств) на 1 жителя составит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 xml:space="preserve"> 2 972 894,07 руб.,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в 2023 году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3 188 446,91 руб.</w:t>
      </w:r>
    </w:p>
    <w:p w:rsidR="001175D0" w:rsidRDefault="0094067F" w:rsidP="001175D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4067F">
        <w:rPr>
          <w:rFonts w:ascii="Times New Roman CYR" w:hAnsi="Times New Roman CYR" w:cs="Times New Roman CYR"/>
          <w:sz w:val="26"/>
          <w:szCs w:val="26"/>
        </w:rPr>
        <w:t>В 2024 году год объем инвестиций (без бюджетных средств) на 1 жителя составит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 xml:space="preserve"> 3 375 433,66 руб.,</w:t>
      </w:r>
      <w:r w:rsidRPr="0094067F">
        <w:rPr>
          <w:rFonts w:ascii="Times New Roman CYR" w:hAnsi="Times New Roman CYR" w:cs="Times New Roman CYR"/>
          <w:sz w:val="26"/>
          <w:szCs w:val="26"/>
        </w:rPr>
        <w:t xml:space="preserve"> на 2025 год планируется в объеме </w:t>
      </w:r>
      <w:r w:rsidRPr="0094067F">
        <w:rPr>
          <w:rFonts w:ascii="Times New Roman CYR" w:hAnsi="Times New Roman CYR" w:cs="Times New Roman CYR"/>
          <w:b/>
          <w:bCs/>
          <w:sz w:val="26"/>
          <w:szCs w:val="26"/>
        </w:rPr>
        <w:t>3 567 004,83 руб.</w:t>
      </w:r>
    </w:p>
    <w:p w:rsidR="001175D0" w:rsidRDefault="001175D0" w:rsidP="001175D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  <w:u w:val="single"/>
        </w:rPr>
      </w:pPr>
    </w:p>
    <w:p w:rsidR="0094067F" w:rsidRPr="001175D0" w:rsidRDefault="0094067F" w:rsidP="001175D0">
      <w:pPr>
        <w:autoSpaceDE w:val="0"/>
        <w:autoSpaceDN w:val="0"/>
        <w:adjustRightInd w:val="0"/>
        <w:spacing w:after="200"/>
        <w:ind w:firstLine="567"/>
        <w:jc w:val="center"/>
        <w:rPr>
          <w:rFonts w:ascii="Times New Roman CYR" w:hAnsi="Times New Roman CYR" w:cs="Times New Roman CYR"/>
          <w:b/>
          <w:bCs/>
          <w:sz w:val="26"/>
          <w:szCs w:val="26"/>
          <w:u w:val="single"/>
        </w:rPr>
      </w:pPr>
      <w:r w:rsidRPr="001175D0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Инвестиционная деятельность малого и среднего бизнеса</w:t>
      </w:r>
    </w:p>
    <w:p w:rsidR="0094067F" w:rsidRPr="001175D0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175D0">
        <w:rPr>
          <w:rFonts w:ascii="Times New Roman CYR" w:hAnsi="Times New Roman CYR" w:cs="Times New Roman CYR"/>
          <w:sz w:val="26"/>
          <w:szCs w:val="26"/>
        </w:rPr>
        <w:t>Инвестиционная деятельность субъектов малого и среднего бизнеса района  направлена на строительство, реконструкцию и ремонт нежилых зданий и помещений с целью последующего их использования для ведения предпринимательской деятельности.</w:t>
      </w:r>
    </w:p>
    <w:p w:rsidR="0094067F" w:rsidRPr="001175D0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1175D0">
        <w:rPr>
          <w:rFonts w:ascii="Times New Roman CYR" w:hAnsi="Times New Roman CYR" w:cs="Times New Roman CYR"/>
          <w:sz w:val="26"/>
          <w:szCs w:val="26"/>
        </w:rPr>
        <w:t>Значительная часть инвестиций направляется индивидуальными предпринимателями района на приобретение новой автомобильной техники, оборудования и инвентаря для пополнения товарно-материальных ценностей.</w:t>
      </w:r>
    </w:p>
    <w:p w:rsidR="0094067F" w:rsidRPr="001175D0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1175D0">
        <w:rPr>
          <w:rFonts w:ascii="Times New Roman CYR" w:hAnsi="Times New Roman CYR" w:cs="Times New Roman CYR"/>
          <w:sz w:val="26"/>
          <w:szCs w:val="26"/>
        </w:rPr>
        <w:t xml:space="preserve">Кроме того, весь объем продовольственных и непродовольственных товаров в район завозится индивидуальными предпринимателями автомобильным </w:t>
      </w:r>
      <w:r w:rsidRPr="001175D0">
        <w:rPr>
          <w:rFonts w:ascii="Times New Roman CYR" w:hAnsi="Times New Roman CYR" w:cs="Times New Roman CYR"/>
          <w:sz w:val="26"/>
          <w:szCs w:val="26"/>
        </w:rPr>
        <w:lastRenderedPageBreak/>
        <w:t xml:space="preserve">транспортом, а так как, автомобильная дорога «Епишино - Северо-Енисейский» находится в аварийном </w:t>
      </w:r>
      <w:proofErr w:type="gramStart"/>
      <w:r w:rsidRPr="001175D0">
        <w:rPr>
          <w:rFonts w:ascii="Times New Roman CYR" w:hAnsi="Times New Roman CYR" w:cs="Times New Roman CYR"/>
          <w:sz w:val="26"/>
          <w:szCs w:val="26"/>
        </w:rPr>
        <w:t>состоянии</w:t>
      </w:r>
      <w:proofErr w:type="gramEnd"/>
      <w:r w:rsidRPr="001175D0">
        <w:rPr>
          <w:rFonts w:ascii="Times New Roman CYR" w:hAnsi="Times New Roman CYR" w:cs="Times New Roman CYR"/>
          <w:sz w:val="26"/>
          <w:szCs w:val="26"/>
        </w:rPr>
        <w:t>, индивидуальным предпринимателями приходится вкладывать инвестиции в частый ремонт своих автотранспортных средств, либо покупать новые автомобили.</w:t>
      </w:r>
    </w:p>
    <w:p w:rsidR="0094067F" w:rsidRPr="001175D0" w:rsidRDefault="0094067F" w:rsidP="0094067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1175D0">
        <w:rPr>
          <w:rFonts w:ascii="Times New Roman CYR" w:hAnsi="Times New Roman CYR" w:cs="Times New Roman CYR"/>
          <w:sz w:val="26"/>
          <w:szCs w:val="26"/>
        </w:rPr>
        <w:t>Население района создает потребительскую аудиторию товаров и услуг, предлагаемых субъектами малого и среднего предпринимательства. Этот фактор способствует увеличению объемов реализации товаров и услуг, а соответственно, и привлечению дополнительных инвестиций в сферу предпринимательской деятельности района.</w:t>
      </w:r>
    </w:p>
    <w:p w:rsidR="0094067F" w:rsidRPr="001175D0" w:rsidRDefault="0094067F" w:rsidP="00280DBB">
      <w:pPr>
        <w:pStyle w:val="1"/>
        <w:numPr>
          <w:ilvl w:val="0"/>
          <w:numId w:val="0"/>
        </w:numPr>
        <w:rPr>
          <w:sz w:val="26"/>
          <w:szCs w:val="26"/>
        </w:rPr>
      </w:pPr>
    </w:p>
    <w:p w:rsidR="00280DBB" w:rsidRPr="00280DBB" w:rsidRDefault="001175D0" w:rsidP="00280DBB">
      <w:pPr>
        <w:pStyle w:val="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6</w:t>
      </w:r>
      <w:r w:rsidR="00280DBB" w:rsidRPr="00280DBB">
        <w:rPr>
          <w:sz w:val="28"/>
          <w:szCs w:val="28"/>
        </w:rPr>
        <w:t>. Строительство</w:t>
      </w:r>
      <w:bookmarkEnd w:id="7"/>
      <w:bookmarkEnd w:id="8"/>
    </w:p>
    <w:p w:rsidR="00280DBB" w:rsidRPr="008A5A81" w:rsidRDefault="00280DBB" w:rsidP="00280DBB">
      <w:pPr>
        <w:tabs>
          <w:tab w:val="left" w:pos="3240"/>
        </w:tabs>
        <w:ind w:firstLine="567"/>
        <w:jc w:val="both"/>
        <w:rPr>
          <w:b/>
          <w:sz w:val="28"/>
          <w:szCs w:val="28"/>
          <w:u w:val="single"/>
          <w:lang w:eastAsia="en-US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 xml:space="preserve">Жилищное строительство 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  <w:u w:val="single"/>
        </w:rPr>
      </w:pP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rFonts w:eastAsia="Calibri"/>
          <w:b/>
          <w:sz w:val="26"/>
          <w:szCs w:val="26"/>
          <w:u w:val="single"/>
        </w:rPr>
        <w:t>В рамках подпрограммы «Развитие среднеэтажного и малоэтажного жилищного строительства в Северо-Енисейском районе»</w:t>
      </w:r>
      <w:r w:rsidRPr="00280DBB">
        <w:rPr>
          <w:rFonts w:eastAsia="Calibri"/>
          <w:sz w:val="26"/>
          <w:szCs w:val="26"/>
        </w:rPr>
        <w:t xml:space="preserve"> муниципальной программы «Создание условий для обеспечения доступным и комфортным жильем граждан Северо-Енисейского района» в 2021 году начато строительства 3-х многоквартирных жилых домов</w:t>
      </w:r>
      <w:r w:rsidRPr="00280DBB">
        <w:rPr>
          <w:bCs/>
          <w:sz w:val="26"/>
          <w:szCs w:val="26"/>
        </w:rPr>
        <w:t xml:space="preserve">, общей площадью </w:t>
      </w:r>
      <w:r w:rsidRPr="00280DBB">
        <w:rPr>
          <w:b/>
          <w:bCs/>
          <w:sz w:val="26"/>
          <w:szCs w:val="26"/>
          <w:u w:val="single"/>
        </w:rPr>
        <w:t>5,313 тыс. кв.м.</w:t>
      </w:r>
      <w:r w:rsidRPr="00280DBB">
        <w:rPr>
          <w:bCs/>
          <w:sz w:val="26"/>
          <w:szCs w:val="26"/>
        </w:rPr>
        <w:t>,</w:t>
      </w:r>
      <w:r w:rsidRPr="00280DBB">
        <w:rPr>
          <w:bCs/>
          <w:sz w:val="26"/>
          <w:szCs w:val="26"/>
          <w:vertAlign w:val="superscript"/>
        </w:rPr>
        <w:t xml:space="preserve"> </w:t>
      </w:r>
      <w:r w:rsidRPr="00280DBB">
        <w:rPr>
          <w:rFonts w:eastAsia="Calibri"/>
          <w:sz w:val="26"/>
          <w:szCs w:val="26"/>
        </w:rPr>
        <w:t xml:space="preserve">на общую сумму </w:t>
      </w:r>
      <w:r w:rsidRPr="00280DBB">
        <w:rPr>
          <w:rFonts w:eastAsia="Calibri"/>
          <w:b/>
          <w:sz w:val="26"/>
          <w:szCs w:val="26"/>
          <w:u w:val="single"/>
        </w:rPr>
        <w:t>72,22 млн. руб., в том числе:</w:t>
      </w:r>
    </w:p>
    <w:p w:rsidR="00280DBB" w:rsidRPr="00280DBB" w:rsidRDefault="00280DBB" w:rsidP="00280DBB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80DBB">
        <w:rPr>
          <w:rFonts w:ascii="Times New Roman" w:eastAsia="Calibri" w:hAnsi="Times New Roman"/>
          <w:sz w:val="26"/>
          <w:szCs w:val="26"/>
        </w:rPr>
        <w:t xml:space="preserve">16-ти квартирный жилой дом в </w:t>
      </w:r>
      <w:proofErr w:type="spellStart"/>
      <w:r w:rsidRPr="00280DBB">
        <w:rPr>
          <w:rFonts w:ascii="Times New Roman" w:eastAsia="Calibri" w:hAnsi="Times New Roman"/>
          <w:sz w:val="26"/>
          <w:szCs w:val="26"/>
        </w:rPr>
        <w:t>гп</w:t>
      </w:r>
      <w:proofErr w:type="spellEnd"/>
      <w:r w:rsidRPr="00280DBB">
        <w:rPr>
          <w:rFonts w:ascii="Times New Roman" w:eastAsia="Calibri" w:hAnsi="Times New Roman"/>
          <w:sz w:val="26"/>
          <w:szCs w:val="26"/>
        </w:rPr>
        <w:t xml:space="preserve"> Северо-Енисейский </w:t>
      </w:r>
      <w:r w:rsidRPr="00280DBB">
        <w:rPr>
          <w:rFonts w:ascii="Times New Roman" w:hAnsi="Times New Roman"/>
          <w:bCs/>
          <w:sz w:val="26"/>
          <w:szCs w:val="26"/>
        </w:rPr>
        <w:t>по ул. Карла Маркса, 19А</w:t>
      </w:r>
      <w:r w:rsidRPr="00280DBB">
        <w:rPr>
          <w:rFonts w:ascii="Times New Roman" w:eastAsia="Calibri" w:hAnsi="Times New Roman"/>
          <w:sz w:val="26"/>
          <w:szCs w:val="26"/>
        </w:rPr>
        <w:t xml:space="preserve"> общей площадью 0,746 </w:t>
      </w:r>
      <w:r w:rsidRPr="00280DBB">
        <w:rPr>
          <w:rFonts w:ascii="Times New Roman" w:hAnsi="Times New Roman"/>
          <w:bCs/>
          <w:sz w:val="26"/>
          <w:szCs w:val="26"/>
        </w:rPr>
        <w:t>тыс. кв.м., на сумму 19,23 млн. рублей;</w:t>
      </w:r>
    </w:p>
    <w:p w:rsidR="00280DBB" w:rsidRPr="00280DBB" w:rsidRDefault="00280DBB" w:rsidP="00280DBB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 </w:t>
      </w:r>
      <w:r w:rsidRPr="00280DBB">
        <w:rPr>
          <w:rFonts w:ascii="Times New Roman" w:eastAsia="Calibri" w:hAnsi="Times New Roman"/>
          <w:sz w:val="26"/>
          <w:szCs w:val="26"/>
        </w:rPr>
        <w:t xml:space="preserve">16-ти квартирный жилой дом в </w:t>
      </w:r>
      <w:proofErr w:type="spellStart"/>
      <w:r w:rsidRPr="00280DBB">
        <w:rPr>
          <w:rFonts w:ascii="Times New Roman" w:eastAsia="Calibri" w:hAnsi="Times New Roman"/>
          <w:sz w:val="26"/>
          <w:szCs w:val="26"/>
        </w:rPr>
        <w:t>гп</w:t>
      </w:r>
      <w:proofErr w:type="spellEnd"/>
      <w:r w:rsidRPr="00280DBB">
        <w:rPr>
          <w:rFonts w:ascii="Times New Roman" w:eastAsia="Calibri" w:hAnsi="Times New Roman"/>
          <w:sz w:val="26"/>
          <w:szCs w:val="26"/>
        </w:rPr>
        <w:t xml:space="preserve"> Северо-Енисейский </w:t>
      </w:r>
      <w:r w:rsidRPr="00280DBB">
        <w:rPr>
          <w:rFonts w:ascii="Times New Roman" w:hAnsi="Times New Roman"/>
          <w:bCs/>
          <w:sz w:val="26"/>
          <w:szCs w:val="26"/>
        </w:rPr>
        <w:t>по ул. Ленина, 62А</w:t>
      </w:r>
      <w:r w:rsidRPr="00280DBB">
        <w:rPr>
          <w:rFonts w:ascii="Times New Roman" w:eastAsia="Calibri" w:hAnsi="Times New Roman"/>
          <w:sz w:val="26"/>
          <w:szCs w:val="26"/>
        </w:rPr>
        <w:t xml:space="preserve"> общей площадью 0,837 </w:t>
      </w:r>
      <w:r w:rsidRPr="00280DBB">
        <w:rPr>
          <w:rFonts w:ascii="Times New Roman" w:hAnsi="Times New Roman"/>
          <w:bCs/>
          <w:sz w:val="26"/>
          <w:szCs w:val="26"/>
        </w:rPr>
        <w:t>тыс. кв.м., на сумму 17,55 млн. рублей;</w:t>
      </w:r>
    </w:p>
    <w:p w:rsidR="00280DBB" w:rsidRPr="00280DBB" w:rsidRDefault="00280DBB" w:rsidP="00280DBB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80DBB">
        <w:rPr>
          <w:rFonts w:ascii="Times New Roman" w:hAnsi="Times New Roman"/>
          <w:bCs/>
          <w:sz w:val="26"/>
          <w:szCs w:val="26"/>
        </w:rPr>
        <w:t xml:space="preserve">60-ти квартирный жилой дом </w:t>
      </w:r>
      <w:r w:rsidRPr="00280DBB">
        <w:rPr>
          <w:rFonts w:ascii="Times New Roman" w:eastAsia="Calibri" w:hAnsi="Times New Roman"/>
          <w:sz w:val="26"/>
          <w:szCs w:val="26"/>
        </w:rPr>
        <w:t xml:space="preserve">в </w:t>
      </w:r>
      <w:proofErr w:type="spellStart"/>
      <w:r w:rsidRPr="00280DBB">
        <w:rPr>
          <w:rFonts w:ascii="Times New Roman" w:eastAsia="Calibri" w:hAnsi="Times New Roman"/>
          <w:sz w:val="26"/>
          <w:szCs w:val="26"/>
        </w:rPr>
        <w:t>гп</w:t>
      </w:r>
      <w:proofErr w:type="spellEnd"/>
      <w:r w:rsidRPr="00280DBB">
        <w:rPr>
          <w:rFonts w:ascii="Times New Roman" w:eastAsia="Calibri" w:hAnsi="Times New Roman"/>
          <w:sz w:val="26"/>
          <w:szCs w:val="26"/>
        </w:rPr>
        <w:t xml:space="preserve"> Северо-Енисейский по ул. Карла Маркса, 52А общей площадью 3,730 </w:t>
      </w:r>
      <w:r w:rsidRPr="00280DBB">
        <w:rPr>
          <w:rFonts w:ascii="Times New Roman" w:hAnsi="Times New Roman"/>
          <w:bCs/>
          <w:sz w:val="26"/>
          <w:szCs w:val="26"/>
        </w:rPr>
        <w:t>тыс. кв.м., на сумму 35,44 млн. рублей.</w:t>
      </w:r>
    </w:p>
    <w:p w:rsidR="00280DBB" w:rsidRPr="00280DBB" w:rsidRDefault="00280DBB" w:rsidP="00280DB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2. Физическими лицами в 2021 году </w:t>
      </w:r>
      <w:proofErr w:type="gramStart"/>
      <w:r w:rsidRPr="00280DBB">
        <w:rPr>
          <w:sz w:val="26"/>
          <w:szCs w:val="26"/>
        </w:rPr>
        <w:t>построены и введены</w:t>
      </w:r>
      <w:proofErr w:type="gramEnd"/>
      <w:r w:rsidRPr="00280DBB">
        <w:rPr>
          <w:sz w:val="26"/>
          <w:szCs w:val="26"/>
        </w:rPr>
        <w:t xml:space="preserve"> в эксплуатацию  индивидуальные жилые дома общей площадью 0,242 </w:t>
      </w:r>
      <w:r w:rsidRPr="00280DBB">
        <w:rPr>
          <w:bCs/>
          <w:sz w:val="26"/>
          <w:szCs w:val="26"/>
        </w:rPr>
        <w:t>тыс. кв.м</w:t>
      </w:r>
      <w:r w:rsidRPr="00280DBB">
        <w:rPr>
          <w:sz w:val="26"/>
          <w:szCs w:val="26"/>
        </w:rPr>
        <w:t xml:space="preserve">. 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 xml:space="preserve">Строительство объектов гражданского назначения 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2021 году в области административно-социальной сферы работы не выполнялись. 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 xml:space="preserve">Строительство объектов жилищно-коммунального хозяйства 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Строительство участка надземных инженерных сетей тепловодоснабжения от ЦПК № 1 до тепловой камеры № 133А по ул. Донского в </w:t>
      </w:r>
      <w:proofErr w:type="spellStart"/>
      <w:r w:rsidRPr="00280DBB">
        <w:rPr>
          <w:sz w:val="26"/>
          <w:szCs w:val="26"/>
        </w:rPr>
        <w:t>гп</w:t>
      </w:r>
      <w:proofErr w:type="spellEnd"/>
      <w:r w:rsidRPr="00280DBB">
        <w:rPr>
          <w:sz w:val="26"/>
          <w:szCs w:val="26"/>
        </w:rPr>
        <w:t xml:space="preserve"> Северо-Енисейский. Общая сумма строительства за период 2018-2021 годов составила 60,0 млн. руб. (средства бюджета района).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Жилищное</w:t>
      </w:r>
      <w:r w:rsidRPr="00280DBB">
        <w:rPr>
          <w:b/>
          <w:bCs/>
          <w:sz w:val="26"/>
          <w:szCs w:val="26"/>
          <w:u w:val="single"/>
        </w:rPr>
        <w:t xml:space="preserve">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строительство</w:t>
      </w:r>
      <w:r w:rsidRPr="00280DBB">
        <w:rPr>
          <w:b/>
          <w:bCs/>
          <w:sz w:val="26"/>
          <w:szCs w:val="26"/>
          <w:u w:val="single"/>
        </w:rPr>
        <w:t xml:space="preserve"> </w:t>
      </w:r>
    </w:p>
    <w:p w:rsidR="00280DBB" w:rsidRPr="00280DBB" w:rsidRDefault="00280DBB" w:rsidP="00280DB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>В 2022 году продолжено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строительство</w:t>
      </w:r>
      <w:r w:rsidRPr="00280DBB">
        <w:rPr>
          <w:sz w:val="26"/>
          <w:szCs w:val="26"/>
        </w:rPr>
        <w:t xml:space="preserve"> 3-</w:t>
      </w:r>
      <w:r w:rsidRPr="00280DBB">
        <w:rPr>
          <w:rFonts w:ascii="Times New Roman CYR" w:hAnsi="Times New Roman CYR" w:cs="Times New Roman CYR"/>
          <w:sz w:val="26"/>
          <w:szCs w:val="26"/>
        </w:rPr>
        <w:t>х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многоквартирных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жилых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домов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Северо</w:t>
      </w:r>
      <w:r w:rsidRPr="00280DBB">
        <w:rPr>
          <w:sz w:val="26"/>
          <w:szCs w:val="26"/>
        </w:rPr>
        <w:t>-</w:t>
      </w:r>
      <w:r w:rsidRPr="00280DBB">
        <w:rPr>
          <w:rFonts w:ascii="Times New Roman CYR" w:hAnsi="Times New Roman CYR" w:cs="Times New Roman CYR"/>
          <w:sz w:val="26"/>
          <w:szCs w:val="26"/>
        </w:rPr>
        <w:t>Енисейский</w:t>
      </w:r>
      <w:r w:rsidRPr="00280DBB">
        <w:rPr>
          <w:sz w:val="26"/>
          <w:szCs w:val="26"/>
        </w:rPr>
        <w:t xml:space="preserve"> (92 </w:t>
      </w:r>
      <w:r w:rsidRPr="00280DBB">
        <w:rPr>
          <w:rFonts w:ascii="Times New Roman CYR" w:hAnsi="Times New Roman CYR" w:cs="Times New Roman CYR"/>
          <w:sz w:val="26"/>
          <w:szCs w:val="26"/>
        </w:rPr>
        <w:t>квартиры</w:t>
      </w:r>
      <w:r w:rsidRPr="00280DBB">
        <w:rPr>
          <w:sz w:val="26"/>
          <w:szCs w:val="26"/>
        </w:rPr>
        <w:t xml:space="preserve">), </w:t>
      </w:r>
      <w:r w:rsidRPr="00280DBB">
        <w:rPr>
          <w:rFonts w:ascii="Times New Roman CYR" w:hAnsi="Times New Roman CYR" w:cs="Times New Roman CYR"/>
          <w:sz w:val="26"/>
          <w:szCs w:val="26"/>
        </w:rPr>
        <w:t>общей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площадью</w:t>
      </w:r>
      <w:r w:rsidRPr="00280DBB">
        <w:rPr>
          <w:sz w:val="26"/>
          <w:szCs w:val="26"/>
        </w:rPr>
        <w:t xml:space="preserve"> </w:t>
      </w:r>
      <w:r w:rsidRPr="00280DBB">
        <w:rPr>
          <w:b/>
          <w:bCs/>
          <w:sz w:val="26"/>
          <w:szCs w:val="26"/>
          <w:u w:val="single"/>
        </w:rPr>
        <w:t xml:space="preserve">5,313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тыс</w:t>
      </w:r>
      <w:r w:rsidRPr="00280DBB">
        <w:rPr>
          <w:b/>
          <w:bCs/>
          <w:sz w:val="26"/>
          <w:szCs w:val="26"/>
          <w:u w:val="single"/>
        </w:rPr>
        <w:t xml:space="preserve">.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кв</w:t>
      </w:r>
      <w:r w:rsidRPr="00280DBB">
        <w:rPr>
          <w:b/>
          <w:bCs/>
          <w:sz w:val="26"/>
          <w:szCs w:val="26"/>
          <w:u w:val="single"/>
        </w:rPr>
        <w:t>.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м</w:t>
      </w:r>
      <w:r w:rsidRPr="00280DBB">
        <w:rPr>
          <w:b/>
          <w:bCs/>
          <w:sz w:val="26"/>
          <w:szCs w:val="26"/>
          <w:u w:val="single"/>
        </w:rPr>
        <w:t>.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общей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стоимостью</w:t>
      </w:r>
      <w:r w:rsidRPr="00280DBB">
        <w:rPr>
          <w:sz w:val="26"/>
          <w:szCs w:val="26"/>
        </w:rPr>
        <w:t xml:space="preserve"> </w:t>
      </w:r>
      <w:r w:rsidRPr="00280DBB">
        <w:rPr>
          <w:b/>
          <w:bCs/>
          <w:sz w:val="26"/>
          <w:szCs w:val="26"/>
          <w:u w:val="single"/>
        </w:rPr>
        <w:t xml:space="preserve">491,54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млн</w:t>
      </w:r>
      <w:r w:rsidRPr="00280DBB">
        <w:rPr>
          <w:b/>
          <w:bCs/>
          <w:sz w:val="26"/>
          <w:szCs w:val="26"/>
          <w:u w:val="single"/>
        </w:rPr>
        <w:t xml:space="preserve">.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  <w:u w:val="single"/>
        </w:rPr>
        <w:t>руб</w:t>
      </w:r>
      <w:r w:rsidRPr="00280DBB">
        <w:rPr>
          <w:b/>
          <w:bCs/>
          <w:sz w:val="26"/>
          <w:szCs w:val="26"/>
          <w:u w:val="single"/>
        </w:rPr>
        <w:t>.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том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числе</w:t>
      </w:r>
      <w:r w:rsidRPr="00280DBB">
        <w:rPr>
          <w:sz w:val="26"/>
          <w:szCs w:val="26"/>
        </w:rPr>
        <w:t>: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1) 16-</w:t>
      </w:r>
      <w:r w:rsidRPr="00280DBB">
        <w:rPr>
          <w:rFonts w:ascii="Times New Roman CYR" w:hAnsi="Times New Roman CYR" w:cs="Times New Roman CYR"/>
          <w:sz w:val="26"/>
          <w:szCs w:val="26"/>
        </w:rPr>
        <w:t>ти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квартирный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жилой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дом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по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ул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Карла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Маркса</w:t>
      </w:r>
      <w:r w:rsidRPr="00280DBB">
        <w:rPr>
          <w:sz w:val="26"/>
          <w:szCs w:val="26"/>
        </w:rPr>
        <w:t>, 19</w:t>
      </w:r>
      <w:r w:rsidRPr="00280DBB">
        <w:rPr>
          <w:rFonts w:ascii="Times New Roman CYR" w:hAnsi="Times New Roman CYR" w:cs="Times New Roman CYR"/>
          <w:sz w:val="26"/>
          <w:szCs w:val="26"/>
        </w:rPr>
        <w:t>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Северо</w:t>
      </w:r>
      <w:r w:rsidRPr="00280DBB">
        <w:rPr>
          <w:sz w:val="26"/>
          <w:szCs w:val="26"/>
        </w:rPr>
        <w:t>-</w:t>
      </w:r>
      <w:r w:rsidRPr="00280DBB">
        <w:rPr>
          <w:rFonts w:ascii="Times New Roman CYR" w:hAnsi="Times New Roman CYR" w:cs="Times New Roman CYR"/>
          <w:sz w:val="26"/>
          <w:szCs w:val="26"/>
        </w:rPr>
        <w:t>Енисейский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общей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площадью</w:t>
      </w:r>
      <w:r w:rsidRPr="00280DBB">
        <w:rPr>
          <w:sz w:val="26"/>
          <w:szCs w:val="26"/>
        </w:rPr>
        <w:t xml:space="preserve"> 0,746 </w:t>
      </w:r>
      <w:r w:rsidRPr="00280DBB">
        <w:rPr>
          <w:rFonts w:ascii="Times New Roman CYR" w:hAnsi="Times New Roman CYR" w:cs="Times New Roman CYR"/>
          <w:sz w:val="26"/>
          <w:szCs w:val="26"/>
        </w:rPr>
        <w:t>тыс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кв</w:t>
      </w:r>
      <w:r w:rsidRPr="00280DBB">
        <w:rPr>
          <w:sz w:val="26"/>
          <w:szCs w:val="26"/>
        </w:rPr>
        <w:t>.</w:t>
      </w:r>
      <w:r w:rsidRPr="00280DBB">
        <w:rPr>
          <w:rFonts w:ascii="Times New Roman CYR" w:hAnsi="Times New Roman CYR" w:cs="Times New Roman CYR"/>
          <w:sz w:val="26"/>
          <w:szCs w:val="26"/>
        </w:rPr>
        <w:t>м</w:t>
      </w:r>
      <w:r w:rsidRPr="00280DBB">
        <w:rPr>
          <w:sz w:val="26"/>
          <w:szCs w:val="26"/>
        </w:rPr>
        <w:t xml:space="preserve">., </w:t>
      </w:r>
      <w:r w:rsidRPr="00280DBB">
        <w:rPr>
          <w:rFonts w:ascii="Times New Roman CYR" w:hAnsi="Times New Roman CYR" w:cs="Times New Roman CYR"/>
          <w:sz w:val="26"/>
          <w:szCs w:val="26"/>
        </w:rPr>
        <w:t>на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сумму</w:t>
      </w:r>
      <w:r w:rsidRPr="00280DBB">
        <w:rPr>
          <w:sz w:val="26"/>
          <w:szCs w:val="26"/>
        </w:rPr>
        <w:t xml:space="preserve"> 103,942 </w:t>
      </w:r>
      <w:r w:rsidRPr="00280DBB">
        <w:rPr>
          <w:rFonts w:ascii="Times New Roman CYR" w:hAnsi="Times New Roman CYR" w:cs="Times New Roman CYR"/>
          <w:sz w:val="26"/>
          <w:szCs w:val="26"/>
        </w:rPr>
        <w:t>млн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руб</w:t>
      </w:r>
      <w:r w:rsidRPr="00280DBB">
        <w:rPr>
          <w:sz w:val="26"/>
          <w:szCs w:val="26"/>
        </w:rPr>
        <w:t>.;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2) 16-</w:t>
      </w:r>
      <w:r w:rsidRPr="00280DBB">
        <w:rPr>
          <w:rFonts w:ascii="Times New Roman CYR" w:hAnsi="Times New Roman CYR" w:cs="Times New Roman CYR"/>
          <w:sz w:val="26"/>
          <w:szCs w:val="26"/>
        </w:rPr>
        <w:t>ти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квартирный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жилой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дом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по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ул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Ленина</w:t>
      </w:r>
      <w:r w:rsidRPr="00280DBB">
        <w:rPr>
          <w:sz w:val="26"/>
          <w:szCs w:val="26"/>
        </w:rPr>
        <w:t>, 62</w:t>
      </w:r>
      <w:r w:rsidRPr="00280DBB">
        <w:rPr>
          <w:rFonts w:ascii="Times New Roman CYR" w:hAnsi="Times New Roman CYR" w:cs="Times New Roman CYR"/>
          <w:sz w:val="26"/>
          <w:szCs w:val="26"/>
        </w:rPr>
        <w:t>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Северо</w:t>
      </w:r>
      <w:r w:rsidRPr="00280DBB">
        <w:rPr>
          <w:sz w:val="26"/>
          <w:szCs w:val="26"/>
        </w:rPr>
        <w:t>-</w:t>
      </w:r>
      <w:r w:rsidRPr="00280DBB">
        <w:rPr>
          <w:rFonts w:ascii="Times New Roman CYR" w:hAnsi="Times New Roman CYR" w:cs="Times New Roman CYR"/>
          <w:sz w:val="26"/>
          <w:szCs w:val="26"/>
        </w:rPr>
        <w:t>Енисейский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общей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площадью</w:t>
      </w:r>
      <w:r w:rsidRPr="00280DBB">
        <w:rPr>
          <w:sz w:val="26"/>
          <w:szCs w:val="26"/>
        </w:rPr>
        <w:t xml:space="preserve"> 0,837 </w:t>
      </w:r>
      <w:r w:rsidRPr="00280DBB">
        <w:rPr>
          <w:rFonts w:ascii="Times New Roman CYR" w:hAnsi="Times New Roman CYR" w:cs="Times New Roman CYR"/>
          <w:sz w:val="26"/>
          <w:szCs w:val="26"/>
        </w:rPr>
        <w:t>тыс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кв</w:t>
      </w:r>
      <w:r w:rsidRPr="00280DBB">
        <w:rPr>
          <w:sz w:val="26"/>
          <w:szCs w:val="26"/>
        </w:rPr>
        <w:t>.</w:t>
      </w:r>
      <w:r w:rsidRPr="00280DBB">
        <w:rPr>
          <w:rFonts w:ascii="Times New Roman CYR" w:hAnsi="Times New Roman CYR" w:cs="Times New Roman CYR"/>
          <w:sz w:val="26"/>
          <w:szCs w:val="26"/>
        </w:rPr>
        <w:t>м</w:t>
      </w:r>
      <w:r w:rsidRPr="00280DBB">
        <w:rPr>
          <w:sz w:val="26"/>
          <w:szCs w:val="26"/>
        </w:rPr>
        <w:t xml:space="preserve">., </w:t>
      </w:r>
      <w:r w:rsidRPr="00280DBB">
        <w:rPr>
          <w:rFonts w:ascii="Times New Roman CYR" w:hAnsi="Times New Roman CYR" w:cs="Times New Roman CYR"/>
          <w:sz w:val="26"/>
          <w:szCs w:val="26"/>
        </w:rPr>
        <w:t>на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сумму</w:t>
      </w:r>
      <w:r w:rsidRPr="00280DBB">
        <w:rPr>
          <w:sz w:val="26"/>
          <w:szCs w:val="26"/>
        </w:rPr>
        <w:t xml:space="preserve"> 96,175 </w:t>
      </w:r>
      <w:r w:rsidRPr="00280DBB">
        <w:rPr>
          <w:rFonts w:ascii="Times New Roman CYR" w:hAnsi="Times New Roman CYR" w:cs="Times New Roman CYR"/>
          <w:sz w:val="26"/>
          <w:szCs w:val="26"/>
        </w:rPr>
        <w:t>млн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руб</w:t>
      </w:r>
      <w:r w:rsidRPr="00280DBB">
        <w:rPr>
          <w:sz w:val="26"/>
          <w:szCs w:val="26"/>
        </w:rPr>
        <w:t>.;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3) 60-</w:t>
      </w:r>
      <w:r w:rsidRPr="00280DBB">
        <w:rPr>
          <w:rFonts w:ascii="Times New Roman CYR" w:hAnsi="Times New Roman CYR" w:cs="Times New Roman CYR"/>
          <w:sz w:val="26"/>
          <w:szCs w:val="26"/>
        </w:rPr>
        <w:t>квартирный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жилой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дом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по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ул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Карла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Маркса</w:t>
      </w:r>
      <w:r w:rsidRPr="00280DBB">
        <w:rPr>
          <w:sz w:val="26"/>
          <w:szCs w:val="26"/>
        </w:rPr>
        <w:t>, 52</w:t>
      </w:r>
      <w:r w:rsidRPr="00280DBB">
        <w:rPr>
          <w:rFonts w:ascii="Times New Roman CYR" w:hAnsi="Times New Roman CYR" w:cs="Times New Roman CYR"/>
          <w:sz w:val="26"/>
          <w:szCs w:val="26"/>
        </w:rPr>
        <w:t>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Северо</w:t>
      </w:r>
      <w:r w:rsidRPr="00280DBB">
        <w:rPr>
          <w:sz w:val="26"/>
          <w:szCs w:val="26"/>
        </w:rPr>
        <w:t>-</w:t>
      </w:r>
      <w:r w:rsidRPr="00280DBB">
        <w:rPr>
          <w:rFonts w:ascii="Times New Roman CYR" w:hAnsi="Times New Roman CYR" w:cs="Times New Roman CYR"/>
          <w:sz w:val="26"/>
          <w:szCs w:val="26"/>
        </w:rPr>
        <w:t>Енисейский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общей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площадью</w:t>
      </w:r>
      <w:r w:rsidRPr="00280DBB">
        <w:rPr>
          <w:sz w:val="26"/>
          <w:szCs w:val="26"/>
        </w:rPr>
        <w:t xml:space="preserve">  3,730 </w:t>
      </w:r>
      <w:r w:rsidRPr="00280DBB">
        <w:rPr>
          <w:rFonts w:ascii="Times New Roman CYR" w:hAnsi="Times New Roman CYR" w:cs="Times New Roman CYR"/>
          <w:sz w:val="26"/>
          <w:szCs w:val="26"/>
        </w:rPr>
        <w:t>тыс</w:t>
      </w:r>
      <w:r w:rsidRPr="00280DBB">
        <w:rPr>
          <w:sz w:val="26"/>
          <w:szCs w:val="26"/>
        </w:rPr>
        <w:t>.</w:t>
      </w:r>
      <w:r w:rsidRPr="00280DBB">
        <w:rPr>
          <w:rFonts w:ascii="Times New Roman CYR" w:hAnsi="Times New Roman CYR" w:cs="Times New Roman CYR"/>
          <w:sz w:val="26"/>
          <w:szCs w:val="26"/>
        </w:rPr>
        <w:t>кв</w:t>
      </w:r>
      <w:r w:rsidRPr="00280DBB">
        <w:rPr>
          <w:sz w:val="26"/>
          <w:szCs w:val="26"/>
        </w:rPr>
        <w:t>.</w:t>
      </w:r>
      <w:r w:rsidRPr="00280DBB">
        <w:rPr>
          <w:rFonts w:ascii="Times New Roman CYR" w:hAnsi="Times New Roman CYR" w:cs="Times New Roman CYR"/>
          <w:sz w:val="26"/>
          <w:szCs w:val="26"/>
        </w:rPr>
        <w:t>м</w:t>
      </w:r>
      <w:r w:rsidRPr="00280DBB">
        <w:rPr>
          <w:sz w:val="26"/>
          <w:szCs w:val="26"/>
        </w:rPr>
        <w:t xml:space="preserve">., </w:t>
      </w:r>
      <w:r w:rsidRPr="00280DBB">
        <w:rPr>
          <w:rFonts w:ascii="Times New Roman CYR" w:hAnsi="Times New Roman CYR" w:cs="Times New Roman CYR"/>
          <w:sz w:val="26"/>
          <w:szCs w:val="26"/>
        </w:rPr>
        <w:t>на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сумму</w:t>
      </w:r>
      <w:r w:rsidRPr="00280DBB">
        <w:rPr>
          <w:sz w:val="26"/>
          <w:szCs w:val="26"/>
        </w:rPr>
        <w:t xml:space="preserve"> 291,423 </w:t>
      </w:r>
      <w:r w:rsidRPr="00280DBB">
        <w:rPr>
          <w:rFonts w:ascii="Times New Roman CYR" w:hAnsi="Times New Roman CYR" w:cs="Times New Roman CYR"/>
          <w:sz w:val="26"/>
          <w:szCs w:val="26"/>
        </w:rPr>
        <w:t>млн</w:t>
      </w:r>
      <w:r w:rsidRPr="00280DBB">
        <w:rPr>
          <w:sz w:val="26"/>
          <w:szCs w:val="26"/>
        </w:rPr>
        <w:t xml:space="preserve">. </w:t>
      </w:r>
      <w:r w:rsidRPr="00280DBB">
        <w:rPr>
          <w:rFonts w:ascii="Times New Roman CYR" w:hAnsi="Times New Roman CYR" w:cs="Times New Roman CYR"/>
          <w:sz w:val="26"/>
          <w:szCs w:val="26"/>
        </w:rPr>
        <w:t>руб</w:t>
      </w:r>
      <w:r w:rsidRPr="00280DBB">
        <w:rPr>
          <w:sz w:val="26"/>
          <w:szCs w:val="26"/>
        </w:rPr>
        <w:t>.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>Кроме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того</w:t>
      </w:r>
      <w:r w:rsidRPr="00280DBB">
        <w:rPr>
          <w:sz w:val="26"/>
          <w:szCs w:val="26"/>
        </w:rPr>
        <w:t xml:space="preserve">, </w:t>
      </w:r>
      <w:r w:rsidRPr="00280DBB">
        <w:rPr>
          <w:rFonts w:ascii="Times New Roman CYR" w:hAnsi="Times New Roman CYR" w:cs="Times New Roman CYR"/>
          <w:sz w:val="26"/>
          <w:szCs w:val="26"/>
        </w:rPr>
        <w:t>строительство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жилых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домов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за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счет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внебюджетных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средств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в</w:t>
      </w:r>
      <w:r w:rsidRPr="00280DBB">
        <w:rPr>
          <w:sz w:val="26"/>
          <w:szCs w:val="26"/>
        </w:rPr>
        <w:t xml:space="preserve"> 2022 </w:t>
      </w:r>
      <w:r w:rsidRPr="00280DBB">
        <w:rPr>
          <w:rFonts w:ascii="Times New Roman CYR" w:hAnsi="Times New Roman CYR" w:cs="Times New Roman CYR"/>
          <w:sz w:val="26"/>
          <w:szCs w:val="26"/>
        </w:rPr>
        <w:t>году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не</w:t>
      </w:r>
      <w:r w:rsidRPr="00280DBB">
        <w:rPr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sz w:val="26"/>
          <w:szCs w:val="26"/>
        </w:rPr>
        <w:t>планируется</w:t>
      </w:r>
      <w:r w:rsidRPr="00280DBB">
        <w:rPr>
          <w:sz w:val="26"/>
          <w:szCs w:val="26"/>
        </w:rPr>
        <w:t>.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 xml:space="preserve">В 2022 году планируется ввод 16-ти квартирного жилого дома в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rFonts w:ascii="Times New Roman CYR" w:hAnsi="Times New Roman CYR" w:cs="Times New Roman CYR"/>
          <w:sz w:val="26"/>
          <w:szCs w:val="26"/>
        </w:rPr>
        <w:t xml:space="preserve"> Северо-Енисейский, общей площадью 1400 м.кв., в 2023 году 16-ти квартирный дом в п. Брянка, общей площадью 1400 м.кв.,  в 2024 году 24-х квартирный дом в п. Тея </w:t>
      </w:r>
      <w:r w:rsidRPr="00280DBB">
        <w:rPr>
          <w:rFonts w:ascii="Times New Roman CYR" w:hAnsi="Times New Roman CYR" w:cs="Times New Roman CYR"/>
          <w:sz w:val="26"/>
          <w:szCs w:val="26"/>
        </w:rPr>
        <w:lastRenderedPageBreak/>
        <w:t xml:space="preserve">общей площадью 1800 м.кв. и 60-ти квартирный жилой дом в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rFonts w:ascii="Times New Roman CYR" w:hAnsi="Times New Roman CYR" w:cs="Times New Roman CYR"/>
          <w:sz w:val="26"/>
          <w:szCs w:val="26"/>
        </w:rPr>
        <w:t>.</w:t>
      </w:r>
      <w:proofErr w:type="gramEnd"/>
      <w:r w:rsidRPr="00280DBB">
        <w:rPr>
          <w:rFonts w:ascii="Times New Roman CYR" w:hAnsi="Times New Roman CYR" w:cs="Times New Roman CYR"/>
          <w:sz w:val="26"/>
          <w:szCs w:val="26"/>
        </w:rPr>
        <w:t xml:space="preserve"> Северо-Енисейский общей площадью 4 587,9 м.кв., в 2025 году 2 60-ти квартирных дома в </w:t>
      </w:r>
      <w:proofErr w:type="spellStart"/>
      <w:r w:rsidRPr="00280DBB">
        <w:rPr>
          <w:rFonts w:ascii="Times New Roman CYR" w:hAnsi="Times New Roman CYR" w:cs="Times New Roman CYR"/>
          <w:sz w:val="26"/>
          <w:szCs w:val="26"/>
        </w:rPr>
        <w:t>гп</w:t>
      </w:r>
      <w:proofErr w:type="spellEnd"/>
      <w:r w:rsidRPr="00280DBB">
        <w:rPr>
          <w:rFonts w:ascii="Times New Roman CYR" w:hAnsi="Times New Roman CYR" w:cs="Times New Roman CYR"/>
          <w:sz w:val="26"/>
          <w:szCs w:val="26"/>
        </w:rPr>
        <w:t>. Северо-Енисейский по 4600 м.кв. общей площадью каждый.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>Строительство всех жилых домов осуществляется за счет средств бюджета Северо-Енисейского района.</w:t>
      </w:r>
    </w:p>
    <w:p w:rsidR="00280DBB" w:rsidRPr="00280DBB" w:rsidRDefault="00280DBB" w:rsidP="00280DBB">
      <w:pPr>
        <w:autoSpaceDE w:val="0"/>
        <w:autoSpaceDN w:val="0"/>
        <w:adjustRightInd w:val="0"/>
        <w:ind w:firstLine="567"/>
        <w:jc w:val="both"/>
        <w:rPr>
          <w:sz w:val="26"/>
          <w:szCs w:val="26"/>
          <w:u w:color="FF0000"/>
        </w:rPr>
      </w:pPr>
      <w:r w:rsidRPr="00280DBB">
        <w:rPr>
          <w:b/>
          <w:sz w:val="26"/>
          <w:szCs w:val="26"/>
          <w:u w:color="FF0000"/>
        </w:rPr>
        <w:t xml:space="preserve">Показатели по вводу жилья в Северо-Енисейском </w:t>
      </w:r>
      <w:proofErr w:type="gramStart"/>
      <w:r w:rsidRPr="00280DBB">
        <w:rPr>
          <w:b/>
          <w:sz w:val="26"/>
          <w:szCs w:val="26"/>
          <w:u w:color="FF0000"/>
        </w:rPr>
        <w:t>районе</w:t>
      </w:r>
      <w:proofErr w:type="gramEnd"/>
      <w:r w:rsidRPr="00280DBB">
        <w:rPr>
          <w:b/>
          <w:sz w:val="26"/>
          <w:szCs w:val="26"/>
          <w:u w:color="FF0000"/>
        </w:rPr>
        <w:t xml:space="preserve"> представлены в таблице </w:t>
      </w:r>
      <w:r w:rsidR="001175D0">
        <w:rPr>
          <w:b/>
          <w:sz w:val="26"/>
          <w:szCs w:val="26"/>
          <w:u w:color="FF0000"/>
        </w:rPr>
        <w:t>4</w:t>
      </w:r>
      <w:r w:rsidRPr="00280DBB">
        <w:rPr>
          <w:b/>
          <w:sz w:val="26"/>
          <w:szCs w:val="26"/>
          <w:u w:color="FF0000"/>
        </w:rPr>
        <w:t>.</w:t>
      </w:r>
    </w:p>
    <w:p w:rsidR="00280DBB" w:rsidRPr="00280DBB" w:rsidRDefault="00540D77" w:rsidP="00280DBB">
      <w:pPr>
        <w:autoSpaceDE w:val="0"/>
        <w:autoSpaceDN w:val="0"/>
        <w:adjustRightInd w:val="0"/>
        <w:ind w:firstLine="567"/>
        <w:jc w:val="right"/>
        <w:rPr>
          <w:b/>
          <w:bCs/>
          <w:sz w:val="26"/>
          <w:szCs w:val="26"/>
          <w:u w:color="FF0000"/>
        </w:rPr>
      </w:pPr>
      <w:r>
        <w:rPr>
          <w:sz w:val="26"/>
          <w:szCs w:val="26"/>
          <w:u w:color="FF0000"/>
        </w:rPr>
        <w:t xml:space="preserve"> </w:t>
      </w:r>
      <w:r w:rsidR="00280DBB" w:rsidRPr="00280DBB">
        <w:rPr>
          <w:sz w:val="26"/>
          <w:szCs w:val="26"/>
          <w:u w:color="FF0000"/>
        </w:rPr>
        <w:t xml:space="preserve">Таблица </w:t>
      </w:r>
      <w:r w:rsidR="001175D0">
        <w:rPr>
          <w:sz w:val="26"/>
          <w:szCs w:val="26"/>
          <w:u w:color="FF0000"/>
        </w:rPr>
        <w:t>4</w:t>
      </w:r>
    </w:p>
    <w:p w:rsidR="00280DBB" w:rsidRPr="00DA655A" w:rsidRDefault="00280DBB" w:rsidP="00280DBB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  <w:u w:color="FF0000"/>
        </w:rPr>
      </w:pPr>
      <w:r w:rsidRPr="00DA655A">
        <w:rPr>
          <w:b/>
          <w:bCs/>
          <w:sz w:val="28"/>
          <w:szCs w:val="28"/>
          <w:u w:color="FF0000"/>
        </w:rPr>
        <w:t>Ввод жилья, кв. метров</w:t>
      </w:r>
    </w:p>
    <w:tbl>
      <w:tblPr>
        <w:tblW w:w="10029" w:type="dxa"/>
        <w:jc w:val="center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47"/>
        <w:gridCol w:w="992"/>
        <w:gridCol w:w="993"/>
        <w:gridCol w:w="992"/>
        <w:gridCol w:w="850"/>
        <w:gridCol w:w="851"/>
        <w:gridCol w:w="851"/>
        <w:gridCol w:w="850"/>
        <w:gridCol w:w="903"/>
      </w:tblGrid>
      <w:tr w:rsidR="00280DBB" w:rsidRPr="00AE569C" w:rsidTr="00540D77">
        <w:trPr>
          <w:trHeight w:val="643"/>
          <w:jc w:val="center"/>
        </w:trPr>
        <w:tc>
          <w:tcPr>
            <w:tcW w:w="274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2021 год 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2022год (оценка)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2023 год</w:t>
            </w:r>
          </w:p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 xml:space="preserve"> (прогноз)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2024 год</w:t>
            </w:r>
          </w:p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 xml:space="preserve"> (прогноз)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 xml:space="preserve">2025 год </w:t>
            </w:r>
          </w:p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(прогноз)</w:t>
            </w:r>
          </w:p>
        </w:tc>
      </w:tr>
      <w:tr w:rsidR="00280DBB" w:rsidRPr="00AE569C" w:rsidTr="00540D77">
        <w:trPr>
          <w:trHeight w:val="177"/>
          <w:jc w:val="center"/>
        </w:trPr>
        <w:tc>
          <w:tcPr>
            <w:tcW w:w="274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1 вар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 вар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1 вар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 вар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1 вар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bCs/>
                <w:sz w:val="20"/>
                <w:szCs w:val="20"/>
                <w:u w:color="FF0000"/>
              </w:rPr>
              <w:t>2 вар</w:t>
            </w:r>
          </w:p>
        </w:tc>
      </w:tr>
      <w:tr w:rsidR="00280DBB" w:rsidRPr="00AE569C" w:rsidTr="00540D77">
        <w:trPr>
          <w:trHeight w:val="420"/>
          <w:jc w:val="center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>Введено 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242,0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1 400,0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1 400,0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6 387,9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6 387,9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9 200,0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9 200,0</w:t>
            </w:r>
          </w:p>
        </w:tc>
      </w:tr>
      <w:tr w:rsidR="00280DBB" w:rsidRPr="00AE569C" w:rsidTr="00540D77">
        <w:trPr>
          <w:trHeight w:val="413"/>
          <w:jc w:val="center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>индивидуальное жилищное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242,0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0,00</w:t>
            </w:r>
          </w:p>
        </w:tc>
      </w:tr>
      <w:tr w:rsidR="00280DBB" w:rsidRPr="00AE569C" w:rsidTr="00540D77">
        <w:trPr>
          <w:trHeight w:val="384"/>
          <w:jc w:val="center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>многоквартирное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1 400,0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1 400,0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6 387,9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6 387,9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9 200,0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9 200,0</w:t>
            </w:r>
          </w:p>
        </w:tc>
      </w:tr>
      <w:tr w:rsidR="00280DBB" w:rsidRPr="00AE569C" w:rsidTr="00540D77">
        <w:trPr>
          <w:trHeight w:val="482"/>
          <w:jc w:val="center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>Среднегодовая численность постоянного населения муниципального района, 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9 64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9 6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9 6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9 60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9 61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u w:color="FF0000"/>
              </w:rPr>
              <w:t>6</w:t>
            </w:r>
          </w:p>
        </w:tc>
      </w:tr>
      <w:tr w:rsidR="00280DBB" w:rsidRPr="00D957D1" w:rsidTr="00540D77">
        <w:trPr>
          <w:trHeight w:val="482"/>
          <w:jc w:val="center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 xml:space="preserve">Общая площадь жилых помещений, приходящаяся в </w:t>
            </w:r>
            <w:proofErr w:type="gramStart"/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>среднем</w:t>
            </w:r>
            <w:proofErr w:type="gramEnd"/>
            <w:r w:rsidRPr="00671657">
              <w:rPr>
                <w:rFonts w:ascii="Times New Roman CYR" w:hAnsi="Times New Roman CYR" w:cs="Times New Roman CYR"/>
                <w:sz w:val="20"/>
                <w:szCs w:val="20"/>
                <w:u w:color="FF0000"/>
              </w:rPr>
              <w:t xml:space="preserve"> на одного жителя, введенная в действие за год, кв.м.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 w:rsidRPr="00671657"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0,1449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0,1451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0,1451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0,6635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0,6632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0,9576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DBB" w:rsidRPr="00671657" w:rsidRDefault="00280DBB" w:rsidP="00C175F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0"/>
                <w:szCs w:val="20"/>
                <w:u w:color="FF0000"/>
              </w:rPr>
              <w:t>0,9567</w:t>
            </w:r>
          </w:p>
        </w:tc>
      </w:tr>
    </w:tbl>
    <w:p w:rsidR="00280DBB" w:rsidRPr="00C14F4E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 xml:space="preserve">Строительство объектов гражданского назначения 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На прогнозный период 2022-2025 </w:t>
      </w:r>
      <w:proofErr w:type="spellStart"/>
      <w:proofErr w:type="gramStart"/>
      <w:r w:rsidRPr="00280DBB">
        <w:rPr>
          <w:sz w:val="26"/>
          <w:szCs w:val="26"/>
        </w:rPr>
        <w:t>гг</w:t>
      </w:r>
      <w:proofErr w:type="spellEnd"/>
      <w:proofErr w:type="gramEnd"/>
      <w:r w:rsidRPr="00280DBB">
        <w:rPr>
          <w:sz w:val="26"/>
          <w:szCs w:val="26"/>
        </w:rPr>
        <w:t xml:space="preserve"> запланировано реконструкция зданий объектов образования, культуры, спорта, здравоохранения.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u w:val="single"/>
        </w:rPr>
      </w:pPr>
      <w:r w:rsidRPr="00280DBB">
        <w:rPr>
          <w:b/>
          <w:bCs/>
          <w:sz w:val="26"/>
          <w:szCs w:val="26"/>
          <w:u w:val="single"/>
        </w:rPr>
        <w:t xml:space="preserve">Строительство объектов жилищно-коммунального хозяйства </w:t>
      </w:r>
    </w:p>
    <w:p w:rsidR="00280DBB" w:rsidRPr="00280DBB" w:rsidRDefault="00280DBB" w:rsidP="00280DBB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На прогнозный период 2022-2025 </w:t>
      </w:r>
      <w:proofErr w:type="spellStart"/>
      <w:proofErr w:type="gramStart"/>
      <w:r w:rsidRPr="00280DBB">
        <w:rPr>
          <w:sz w:val="26"/>
          <w:szCs w:val="26"/>
        </w:rPr>
        <w:t>гг</w:t>
      </w:r>
      <w:proofErr w:type="spellEnd"/>
      <w:proofErr w:type="gramEnd"/>
      <w:r w:rsidRPr="00280DBB">
        <w:rPr>
          <w:sz w:val="26"/>
          <w:szCs w:val="26"/>
        </w:rPr>
        <w:t xml:space="preserve"> запланировано строительство водозабора подземных вод, реконструкция сетей теплоснабжения, строительство сетей теплоснабжения в населенных пунктах района.</w:t>
      </w: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Общая площадь жилых помещений, приходящаяся в </w:t>
      </w:r>
      <w:proofErr w:type="gramStart"/>
      <w:r w:rsidRPr="00280DBB">
        <w:rPr>
          <w:sz w:val="26"/>
          <w:szCs w:val="26"/>
        </w:rPr>
        <w:t>среднем</w:t>
      </w:r>
      <w:proofErr w:type="gramEnd"/>
      <w:r w:rsidRPr="00280DBB">
        <w:rPr>
          <w:sz w:val="26"/>
          <w:szCs w:val="26"/>
        </w:rPr>
        <w:t xml:space="preserve"> на одного жителя, кв.м./чел. представлена на рисунке </w:t>
      </w:r>
      <w:r w:rsidR="00540D77">
        <w:rPr>
          <w:sz w:val="26"/>
          <w:szCs w:val="26"/>
        </w:rPr>
        <w:t>1</w:t>
      </w:r>
      <w:r w:rsidR="001175D0">
        <w:rPr>
          <w:sz w:val="26"/>
          <w:szCs w:val="26"/>
        </w:rPr>
        <w:t>2</w:t>
      </w:r>
      <w:r w:rsidRPr="00280DBB">
        <w:rPr>
          <w:sz w:val="26"/>
          <w:szCs w:val="26"/>
        </w:rPr>
        <w:t>.</w:t>
      </w:r>
    </w:p>
    <w:p w:rsidR="00280DBB" w:rsidRPr="000B4C42" w:rsidRDefault="00280DBB" w:rsidP="00280DBB">
      <w:pPr>
        <w:ind w:firstLine="709"/>
        <w:jc w:val="both"/>
        <w:rPr>
          <w:sz w:val="28"/>
          <w:szCs w:val="28"/>
        </w:rPr>
      </w:pPr>
    </w:p>
    <w:p w:rsidR="00280DBB" w:rsidRPr="000B4C42" w:rsidRDefault="00280DBB" w:rsidP="00280DBB">
      <w:pPr>
        <w:jc w:val="center"/>
        <w:rPr>
          <w:sz w:val="28"/>
          <w:szCs w:val="28"/>
        </w:rPr>
      </w:pPr>
      <w:r w:rsidRPr="000B4C42">
        <w:rPr>
          <w:noProof/>
          <w:sz w:val="28"/>
          <w:szCs w:val="28"/>
        </w:rPr>
        <w:drawing>
          <wp:inline distT="0" distB="0" distL="0" distR="0">
            <wp:extent cx="6048375" cy="1943100"/>
            <wp:effectExtent l="19050" t="0" r="9525" b="0"/>
            <wp:docPr id="2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80DBB" w:rsidRDefault="00280DBB" w:rsidP="00280DBB">
      <w:pPr>
        <w:tabs>
          <w:tab w:val="left" w:pos="2127"/>
        </w:tabs>
        <w:jc w:val="center"/>
        <w:rPr>
          <w:b/>
        </w:rPr>
      </w:pPr>
    </w:p>
    <w:p w:rsidR="00280DBB" w:rsidRPr="00540D77" w:rsidRDefault="00280DBB" w:rsidP="00280DBB">
      <w:pPr>
        <w:tabs>
          <w:tab w:val="left" w:pos="2127"/>
        </w:tabs>
        <w:jc w:val="center"/>
        <w:rPr>
          <w:b/>
        </w:rPr>
      </w:pPr>
      <w:r w:rsidRPr="00540D77">
        <w:rPr>
          <w:b/>
        </w:rPr>
        <w:t xml:space="preserve">Рис </w:t>
      </w:r>
      <w:r w:rsidR="00540D77" w:rsidRPr="00540D77">
        <w:rPr>
          <w:b/>
        </w:rPr>
        <w:t>1</w:t>
      </w:r>
      <w:r w:rsidR="001175D0">
        <w:rPr>
          <w:b/>
        </w:rPr>
        <w:t>2</w:t>
      </w:r>
      <w:r w:rsidRPr="00540D77">
        <w:rPr>
          <w:b/>
        </w:rPr>
        <w:t>. Общая площадь жилого фонда, приходящаяся на 1 жителя, кв.м./чел.</w:t>
      </w:r>
    </w:p>
    <w:p w:rsidR="00280DBB" w:rsidRPr="001175D0" w:rsidRDefault="00280DBB" w:rsidP="00280DBB">
      <w:pPr>
        <w:ind w:firstLine="709"/>
        <w:jc w:val="both"/>
        <w:rPr>
          <w:sz w:val="26"/>
          <w:szCs w:val="26"/>
        </w:rPr>
      </w:pPr>
      <w:r w:rsidRPr="001175D0">
        <w:rPr>
          <w:sz w:val="26"/>
          <w:szCs w:val="26"/>
        </w:rPr>
        <w:t xml:space="preserve">В течение 2021 года проводилась работа по сносу ветхих и аварийных домов, так в течение отчетного года было снесено общей </w:t>
      </w:r>
      <w:r w:rsidRPr="001175D0">
        <w:rPr>
          <w:sz w:val="26"/>
          <w:szCs w:val="26"/>
          <w:lang w:val="en-US"/>
        </w:rPr>
        <w:t>S</w:t>
      </w:r>
      <w:r w:rsidRPr="001175D0">
        <w:rPr>
          <w:sz w:val="26"/>
          <w:szCs w:val="26"/>
        </w:rPr>
        <w:t xml:space="preserve"> жилья </w:t>
      </w:r>
      <w:r w:rsidRPr="001175D0">
        <w:rPr>
          <w:b/>
          <w:sz w:val="26"/>
          <w:szCs w:val="26"/>
        </w:rPr>
        <w:t>1,51 тыс.кв. м</w:t>
      </w:r>
      <w:r w:rsidRPr="001175D0">
        <w:rPr>
          <w:sz w:val="26"/>
          <w:szCs w:val="26"/>
        </w:rPr>
        <w:t>. ветхого и аварийного жилья.</w:t>
      </w:r>
    </w:p>
    <w:p w:rsidR="00280DBB" w:rsidRPr="001175D0" w:rsidRDefault="00280DBB" w:rsidP="00280DBB">
      <w:pPr>
        <w:ind w:firstLine="709"/>
        <w:jc w:val="both"/>
        <w:rPr>
          <w:sz w:val="26"/>
          <w:szCs w:val="26"/>
        </w:rPr>
      </w:pPr>
      <w:r w:rsidRPr="001175D0">
        <w:rPr>
          <w:sz w:val="26"/>
          <w:szCs w:val="26"/>
        </w:rPr>
        <w:lastRenderedPageBreak/>
        <w:t>Динамика ввода в эксплуатацию нового жилья и сноса ветхого и аварийного жилья представлена на рисунке 1</w:t>
      </w:r>
      <w:r w:rsidR="001175D0">
        <w:rPr>
          <w:sz w:val="26"/>
          <w:szCs w:val="26"/>
        </w:rPr>
        <w:t>3</w:t>
      </w:r>
      <w:r w:rsidRPr="001175D0">
        <w:rPr>
          <w:sz w:val="26"/>
          <w:szCs w:val="26"/>
        </w:rPr>
        <w:t>.</w:t>
      </w:r>
    </w:p>
    <w:p w:rsidR="00280DBB" w:rsidRPr="00DA655A" w:rsidRDefault="00280DBB" w:rsidP="00280DBB">
      <w:pPr>
        <w:ind w:firstLine="709"/>
        <w:jc w:val="both"/>
        <w:rPr>
          <w:sz w:val="28"/>
          <w:szCs w:val="28"/>
        </w:rPr>
      </w:pPr>
    </w:p>
    <w:p w:rsidR="00280DBB" w:rsidRPr="000B4C42" w:rsidRDefault="00280DBB" w:rsidP="00280DBB">
      <w:pPr>
        <w:jc w:val="center"/>
        <w:rPr>
          <w:sz w:val="28"/>
          <w:szCs w:val="28"/>
        </w:rPr>
      </w:pPr>
      <w:r w:rsidRPr="000B4C42">
        <w:rPr>
          <w:noProof/>
          <w:sz w:val="28"/>
          <w:szCs w:val="28"/>
        </w:rPr>
        <w:drawing>
          <wp:inline distT="0" distB="0" distL="0" distR="0">
            <wp:extent cx="5953125" cy="1847850"/>
            <wp:effectExtent l="19050" t="0" r="9525" b="0"/>
            <wp:docPr id="3" name="Диаграмма 15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80DBB" w:rsidRPr="000B4C42" w:rsidRDefault="00280DBB" w:rsidP="00280DBB">
      <w:pPr>
        <w:ind w:firstLine="567"/>
        <w:jc w:val="center"/>
        <w:rPr>
          <w:b/>
        </w:rPr>
      </w:pPr>
      <w:r w:rsidRPr="000B4C42">
        <w:rPr>
          <w:b/>
        </w:rPr>
        <w:t>Рис 1</w:t>
      </w:r>
      <w:r w:rsidR="001175D0">
        <w:rPr>
          <w:b/>
        </w:rPr>
        <w:t>3</w:t>
      </w:r>
      <w:r w:rsidRPr="000B4C42">
        <w:rPr>
          <w:b/>
        </w:rPr>
        <w:t>. Динамика ввода в эксплуатацию нового жилья и сноса ветхого и аварийного жилья, тыс.кв.м.</w:t>
      </w:r>
    </w:p>
    <w:p w:rsidR="00280DBB" w:rsidRPr="000B4C42" w:rsidRDefault="00280DBB" w:rsidP="00280DBB">
      <w:pPr>
        <w:ind w:firstLine="567"/>
        <w:jc w:val="center"/>
        <w:rPr>
          <w:b/>
        </w:rPr>
      </w:pP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Общая площадь ветхого и аварийного муниципального жилья в 2021 году составила </w:t>
      </w:r>
      <w:r w:rsidRPr="00280DBB">
        <w:rPr>
          <w:b/>
          <w:sz w:val="26"/>
          <w:szCs w:val="26"/>
        </w:rPr>
        <w:t>1,93</w:t>
      </w:r>
      <w:r w:rsidRPr="00280DBB">
        <w:rPr>
          <w:sz w:val="26"/>
          <w:szCs w:val="26"/>
        </w:rPr>
        <w:t xml:space="preserve"> </w:t>
      </w:r>
      <w:r w:rsidRPr="00280DBB">
        <w:rPr>
          <w:b/>
          <w:sz w:val="26"/>
          <w:szCs w:val="26"/>
        </w:rPr>
        <w:t>тыс.кв. м</w:t>
      </w:r>
      <w:r w:rsidRPr="00280DBB">
        <w:rPr>
          <w:sz w:val="26"/>
          <w:szCs w:val="26"/>
        </w:rPr>
        <w:t>.</w:t>
      </w: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Общая площадь жилищного фонда района в 2021 году составила </w:t>
      </w:r>
      <w:r w:rsidRPr="00280DBB">
        <w:rPr>
          <w:b/>
          <w:sz w:val="26"/>
          <w:szCs w:val="26"/>
        </w:rPr>
        <w:t>235,05 тыс.кв. м.,</w:t>
      </w:r>
      <w:r w:rsidRPr="00280DBB">
        <w:rPr>
          <w:sz w:val="26"/>
          <w:szCs w:val="26"/>
        </w:rPr>
        <w:t xml:space="preserve"> в том числе площадь муниципального жилищного фонда составила </w:t>
      </w:r>
      <w:r w:rsidRPr="00280DBB">
        <w:rPr>
          <w:b/>
          <w:sz w:val="26"/>
          <w:szCs w:val="26"/>
        </w:rPr>
        <w:t>80,24 тыс.кв. м.,</w:t>
      </w:r>
      <w:r w:rsidRPr="00280DBB">
        <w:rPr>
          <w:sz w:val="26"/>
          <w:szCs w:val="26"/>
        </w:rPr>
        <w:t xml:space="preserve"> и снизилась по сравнению с показателем 2020 года на 7,00 тыс.кв. м.</w:t>
      </w:r>
    </w:p>
    <w:p w:rsid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изменения качественного и количественного муниципального жилого фонда района (по общей площади) представлена на рисунке </w:t>
      </w:r>
      <w:r w:rsidR="00540D77">
        <w:rPr>
          <w:sz w:val="26"/>
          <w:szCs w:val="26"/>
        </w:rPr>
        <w:t>1</w:t>
      </w:r>
      <w:r w:rsidR="001175D0">
        <w:rPr>
          <w:sz w:val="26"/>
          <w:szCs w:val="26"/>
        </w:rPr>
        <w:t>4</w:t>
      </w:r>
      <w:r w:rsidRPr="00280DBB">
        <w:rPr>
          <w:sz w:val="26"/>
          <w:szCs w:val="26"/>
        </w:rPr>
        <w:t>.</w:t>
      </w:r>
    </w:p>
    <w:p w:rsidR="001175D0" w:rsidRPr="00280DBB" w:rsidRDefault="001175D0" w:rsidP="00280DBB">
      <w:pPr>
        <w:ind w:firstLine="709"/>
        <w:jc w:val="both"/>
        <w:rPr>
          <w:sz w:val="26"/>
          <w:szCs w:val="26"/>
        </w:rPr>
      </w:pPr>
    </w:p>
    <w:p w:rsidR="00280DBB" w:rsidRPr="000C644B" w:rsidRDefault="00280DBB" w:rsidP="00280DBB">
      <w:pPr>
        <w:jc w:val="center"/>
        <w:rPr>
          <w:sz w:val="28"/>
          <w:szCs w:val="28"/>
        </w:rPr>
      </w:pPr>
      <w:r w:rsidRPr="000C644B">
        <w:rPr>
          <w:noProof/>
          <w:sz w:val="28"/>
          <w:szCs w:val="28"/>
        </w:rPr>
        <w:drawing>
          <wp:inline distT="0" distB="0" distL="0" distR="0">
            <wp:extent cx="6142990" cy="2390775"/>
            <wp:effectExtent l="19050" t="0" r="10160" b="0"/>
            <wp:docPr id="23" name="Диаграмма 15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80DBB" w:rsidRPr="000C644B" w:rsidRDefault="00280DBB" w:rsidP="00280DBB">
      <w:pPr>
        <w:ind w:firstLine="567"/>
        <w:jc w:val="center"/>
        <w:rPr>
          <w:b/>
        </w:rPr>
      </w:pPr>
      <w:r w:rsidRPr="000C644B">
        <w:rPr>
          <w:b/>
        </w:rPr>
        <w:t xml:space="preserve">Рис </w:t>
      </w:r>
      <w:r w:rsidR="00540D77">
        <w:rPr>
          <w:b/>
        </w:rPr>
        <w:t>1</w:t>
      </w:r>
      <w:r w:rsidR="001175D0">
        <w:rPr>
          <w:b/>
        </w:rPr>
        <w:t>4</w:t>
      </w:r>
      <w:r w:rsidRPr="000C644B">
        <w:rPr>
          <w:b/>
        </w:rPr>
        <w:t>. Динамика изменения качественного и количественного муниципального жилого фонда (по общей площади), тыс. кв. м.</w:t>
      </w:r>
    </w:p>
    <w:p w:rsidR="00400943" w:rsidRDefault="00400943" w:rsidP="00280DBB">
      <w:pPr>
        <w:ind w:firstLine="567"/>
        <w:jc w:val="both"/>
        <w:rPr>
          <w:sz w:val="26"/>
          <w:szCs w:val="26"/>
        </w:rPr>
      </w:pPr>
    </w:p>
    <w:p w:rsid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В 2021 году снизилась общая площадь ветхого и аварийного жилищного фонда муниципальной формы собственности на 0,2 тыс. м. кв. в связи с постоянно проводимой работой администрацией Северо-Енисейского района по обследованию муниципального жилищного фонда и признанию его аварийным и непригодным для проживания и последующим его сносом.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</w:p>
    <w:p w:rsidR="00280DBB" w:rsidRPr="00540D77" w:rsidRDefault="001175D0" w:rsidP="00280DBB">
      <w:pPr>
        <w:pStyle w:val="1"/>
        <w:numPr>
          <w:ilvl w:val="0"/>
          <w:numId w:val="0"/>
        </w:numPr>
        <w:rPr>
          <w:sz w:val="28"/>
          <w:szCs w:val="28"/>
        </w:rPr>
      </w:pPr>
      <w:bookmarkStart w:id="10" w:name="_Toc361390366"/>
      <w:bookmarkStart w:id="11" w:name="_Toc49869676"/>
      <w:r>
        <w:rPr>
          <w:sz w:val="28"/>
          <w:szCs w:val="28"/>
        </w:rPr>
        <w:t>7</w:t>
      </w:r>
      <w:r w:rsidR="00280DBB" w:rsidRPr="00540D77">
        <w:rPr>
          <w:sz w:val="28"/>
          <w:szCs w:val="28"/>
        </w:rPr>
        <w:t>. Розничная торговля</w:t>
      </w:r>
      <w:bookmarkEnd w:id="10"/>
      <w:bookmarkEnd w:id="11"/>
    </w:p>
    <w:p w:rsidR="00280DBB" w:rsidRPr="00E64B6C" w:rsidRDefault="00280DBB" w:rsidP="00280DBB">
      <w:pPr>
        <w:ind w:firstLine="709"/>
        <w:jc w:val="both"/>
        <w:rPr>
          <w:b/>
          <w:sz w:val="28"/>
          <w:szCs w:val="28"/>
        </w:rPr>
      </w:pP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Розничная торговля на территории Северо-Енисейского района </w:t>
      </w:r>
      <w:proofErr w:type="gramStart"/>
      <w:r w:rsidRPr="00280DBB">
        <w:rPr>
          <w:sz w:val="26"/>
          <w:szCs w:val="26"/>
        </w:rPr>
        <w:t>является отраслью экономики и характеризуется</w:t>
      </w:r>
      <w:proofErr w:type="gramEnd"/>
      <w:r w:rsidRPr="00280DBB">
        <w:rPr>
          <w:sz w:val="26"/>
          <w:szCs w:val="26"/>
        </w:rPr>
        <w:t xml:space="preserve"> появлением новых технологий продаж и современных форматов торговли. 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proofErr w:type="gramStart"/>
      <w:r w:rsidRPr="00280DBB">
        <w:rPr>
          <w:sz w:val="26"/>
          <w:szCs w:val="26"/>
        </w:rPr>
        <w:lastRenderedPageBreak/>
        <w:t>Населению района за 2021 год реализовано продовольственных и промышленных товаров на сумму </w:t>
      </w:r>
      <w:r w:rsidRPr="00280DBB">
        <w:rPr>
          <w:b/>
          <w:sz w:val="26"/>
          <w:szCs w:val="26"/>
        </w:rPr>
        <w:t>1 702,17 млн. руб</w:t>
      </w:r>
      <w:r w:rsidRPr="00280DBB">
        <w:rPr>
          <w:sz w:val="26"/>
          <w:szCs w:val="26"/>
        </w:rPr>
        <w:t xml:space="preserve">. Количество объектов розничной торговли на территории района по состоянию на 1 января 2022 года составляет </w:t>
      </w:r>
      <w:r w:rsidRPr="00280DBB">
        <w:rPr>
          <w:b/>
          <w:sz w:val="26"/>
          <w:szCs w:val="26"/>
        </w:rPr>
        <w:t>215</w:t>
      </w:r>
      <w:r w:rsidRPr="00280DBB">
        <w:rPr>
          <w:sz w:val="26"/>
          <w:szCs w:val="26"/>
        </w:rPr>
        <w:t xml:space="preserve"> единиц, из них </w:t>
      </w:r>
      <w:r w:rsidRPr="00280DBB">
        <w:rPr>
          <w:b/>
          <w:sz w:val="26"/>
          <w:szCs w:val="26"/>
        </w:rPr>
        <w:t>83</w:t>
      </w:r>
      <w:r w:rsidRPr="00280DBB">
        <w:rPr>
          <w:sz w:val="26"/>
          <w:szCs w:val="26"/>
        </w:rPr>
        <w:t xml:space="preserve"> магазина, </w:t>
      </w:r>
      <w:r w:rsidRPr="00280DBB">
        <w:rPr>
          <w:b/>
          <w:sz w:val="26"/>
          <w:szCs w:val="26"/>
        </w:rPr>
        <w:t>18</w:t>
      </w:r>
      <w:r w:rsidRPr="00280DBB">
        <w:rPr>
          <w:sz w:val="26"/>
          <w:szCs w:val="26"/>
        </w:rPr>
        <w:t xml:space="preserve"> павильонов, </w:t>
      </w:r>
      <w:r w:rsidRPr="00280DBB">
        <w:rPr>
          <w:b/>
          <w:sz w:val="26"/>
          <w:szCs w:val="26"/>
        </w:rPr>
        <w:t xml:space="preserve">35 </w:t>
      </w:r>
      <w:r w:rsidRPr="00280DBB">
        <w:rPr>
          <w:sz w:val="26"/>
          <w:szCs w:val="26"/>
        </w:rPr>
        <w:t xml:space="preserve">торговых места, </w:t>
      </w:r>
      <w:r w:rsidRPr="00280DBB">
        <w:rPr>
          <w:b/>
          <w:sz w:val="26"/>
          <w:szCs w:val="26"/>
        </w:rPr>
        <w:t>14</w:t>
      </w:r>
      <w:r w:rsidRPr="00280DBB">
        <w:rPr>
          <w:sz w:val="26"/>
          <w:szCs w:val="26"/>
        </w:rPr>
        <w:t xml:space="preserve"> аптек и аптечных пунктов, а также </w:t>
      </w:r>
      <w:r w:rsidRPr="00280DBB">
        <w:rPr>
          <w:b/>
          <w:sz w:val="26"/>
          <w:szCs w:val="26"/>
        </w:rPr>
        <w:t>54</w:t>
      </w:r>
      <w:r w:rsidRPr="00280DBB">
        <w:rPr>
          <w:sz w:val="26"/>
          <w:szCs w:val="26"/>
        </w:rPr>
        <w:t xml:space="preserve"> объекта, предоставляющих различные услуги.</w:t>
      </w:r>
      <w:proofErr w:type="gramEnd"/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Обеспеченность торговыми площадями на 1000 жителей составила </w:t>
      </w:r>
      <w:r w:rsidRPr="00280DBB">
        <w:rPr>
          <w:b/>
          <w:sz w:val="26"/>
          <w:szCs w:val="26"/>
        </w:rPr>
        <w:t>784,94 кв. м.</w:t>
      </w:r>
      <w:r w:rsidRPr="00280DBB">
        <w:rPr>
          <w:sz w:val="26"/>
          <w:szCs w:val="26"/>
        </w:rPr>
        <w:t xml:space="preserve">, что выше нормативного значения </w:t>
      </w:r>
      <w:r w:rsidRPr="00280DBB">
        <w:rPr>
          <w:b/>
          <w:sz w:val="26"/>
          <w:szCs w:val="26"/>
        </w:rPr>
        <w:t>более чем в 1,6 раза</w:t>
      </w:r>
      <w:r w:rsidRPr="00280DBB">
        <w:rPr>
          <w:sz w:val="26"/>
          <w:szCs w:val="26"/>
        </w:rPr>
        <w:t xml:space="preserve"> (нормативное значение 496,52 кв.м. на 1000 чел.).</w:t>
      </w:r>
    </w:p>
    <w:p w:rsidR="00280DBB" w:rsidRDefault="00280DBB" w:rsidP="00280DBB">
      <w:pPr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По оценке 2022 года оборот розничной торговли составит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1 929,16 млн. руб.,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по прогнозу 2023 года –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2 138,95 млн. руб.,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по прогнозу 2024 года –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2 324,56 млн. руб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., по прогнозу 2025 года –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2 502,16 млн. руб.</w:t>
      </w:r>
    </w:p>
    <w:p w:rsidR="00540D77" w:rsidRPr="00280DBB" w:rsidRDefault="00540D77" w:rsidP="00280DBB">
      <w:pPr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80DBB" w:rsidRDefault="00280DBB" w:rsidP="00280DBB">
      <w:pPr>
        <w:pBdr>
          <w:top w:val="none" w:sz="4" w:space="1" w:color="000000"/>
          <w:bottom w:val="none" w:sz="4" w:space="1" w:color="000000"/>
        </w:pBdr>
        <w:ind w:firstLine="567"/>
        <w:jc w:val="both"/>
        <w:rPr>
          <w:rFonts w:eastAsia="Times New Roman CYR"/>
          <w:sz w:val="26"/>
          <w:szCs w:val="26"/>
        </w:rPr>
      </w:pPr>
      <w:r w:rsidRPr="00280DBB">
        <w:rPr>
          <w:rFonts w:eastAsia="Times New Roman CYR"/>
          <w:sz w:val="26"/>
          <w:szCs w:val="26"/>
        </w:rPr>
        <w:t xml:space="preserve">Оборот розничной торговли представлен на рисунке </w:t>
      </w:r>
      <w:r w:rsidR="00540D77">
        <w:rPr>
          <w:rFonts w:eastAsia="Times New Roman CYR"/>
          <w:sz w:val="26"/>
          <w:szCs w:val="26"/>
        </w:rPr>
        <w:t>1</w:t>
      </w:r>
      <w:r w:rsidR="001175D0">
        <w:rPr>
          <w:rFonts w:eastAsia="Times New Roman CYR"/>
          <w:sz w:val="26"/>
          <w:szCs w:val="26"/>
        </w:rPr>
        <w:t>5</w:t>
      </w:r>
      <w:r w:rsidRPr="00280DBB">
        <w:rPr>
          <w:rFonts w:eastAsia="Times New Roman CYR"/>
          <w:sz w:val="26"/>
          <w:szCs w:val="26"/>
        </w:rPr>
        <w:t>.</w:t>
      </w:r>
    </w:p>
    <w:p w:rsidR="00E642C3" w:rsidRDefault="00E642C3" w:rsidP="00280DBB">
      <w:pPr>
        <w:pBdr>
          <w:top w:val="none" w:sz="4" w:space="1" w:color="000000"/>
          <w:bottom w:val="none" w:sz="4" w:space="1" w:color="000000"/>
        </w:pBdr>
        <w:ind w:firstLine="567"/>
        <w:jc w:val="both"/>
        <w:rPr>
          <w:rFonts w:eastAsia="Times New Roman CYR"/>
          <w:sz w:val="26"/>
          <w:szCs w:val="26"/>
        </w:rPr>
      </w:pPr>
    </w:p>
    <w:p w:rsidR="00280DBB" w:rsidRPr="00E64B6C" w:rsidRDefault="00280DBB" w:rsidP="00280DBB">
      <w:pPr>
        <w:pBdr>
          <w:top w:val="none" w:sz="4" w:space="1" w:color="000000"/>
          <w:bottom w:val="none" w:sz="4" w:space="1" w:color="000000"/>
        </w:pBdr>
        <w:jc w:val="center"/>
        <w:rPr>
          <w:rFonts w:eastAsia="Times New Roman CYR"/>
          <w:sz w:val="28"/>
          <w:szCs w:val="28"/>
        </w:rPr>
      </w:pPr>
      <w:r w:rsidRPr="00E64B6C">
        <w:rPr>
          <w:noProof/>
          <w:sz w:val="28"/>
          <w:szCs w:val="28"/>
        </w:rPr>
        <w:drawing>
          <wp:inline distT="0" distB="0" distL="0" distR="0">
            <wp:extent cx="5514975" cy="1638300"/>
            <wp:effectExtent l="19050" t="0" r="9525" b="0"/>
            <wp:docPr id="418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80DBB" w:rsidRPr="00E64B6C" w:rsidRDefault="00280DBB" w:rsidP="00280DBB">
      <w:pPr>
        <w:pBdr>
          <w:top w:val="none" w:sz="4" w:space="1" w:color="000000"/>
          <w:bottom w:val="none" w:sz="4" w:space="1" w:color="000000"/>
        </w:pBdr>
        <w:jc w:val="center"/>
        <w:rPr>
          <w:rFonts w:eastAsia="Times New Roman CYR"/>
          <w:i/>
        </w:rPr>
      </w:pPr>
      <w:r w:rsidRPr="00540D77">
        <w:rPr>
          <w:rFonts w:eastAsia="Times New Roman CYR"/>
          <w:b/>
        </w:rPr>
        <w:t xml:space="preserve">Рис. </w:t>
      </w:r>
      <w:r w:rsidR="00540D77" w:rsidRPr="00540D77">
        <w:rPr>
          <w:rFonts w:eastAsia="Times New Roman CYR"/>
          <w:b/>
        </w:rPr>
        <w:t>1</w:t>
      </w:r>
      <w:r w:rsidR="001175D0">
        <w:rPr>
          <w:rFonts w:eastAsia="Times New Roman CYR"/>
          <w:b/>
        </w:rPr>
        <w:t>5</w:t>
      </w:r>
      <w:r w:rsidRPr="00540D77">
        <w:rPr>
          <w:rFonts w:eastAsia="Times New Roman CYR"/>
          <w:b/>
        </w:rPr>
        <w:t>.</w:t>
      </w:r>
      <w:r w:rsidRPr="00E64B6C">
        <w:rPr>
          <w:rFonts w:eastAsia="Times New Roman CYR"/>
          <w:b/>
        </w:rPr>
        <w:t xml:space="preserve"> Оборот </w:t>
      </w:r>
      <w:proofErr w:type="gramStart"/>
      <w:r w:rsidRPr="00E64B6C">
        <w:rPr>
          <w:rFonts w:eastAsia="Times New Roman CYR"/>
          <w:b/>
        </w:rPr>
        <w:t>розничной</w:t>
      </w:r>
      <w:proofErr w:type="gramEnd"/>
      <w:r w:rsidRPr="00E64B6C">
        <w:rPr>
          <w:rFonts w:eastAsia="Times New Roman CYR"/>
          <w:b/>
        </w:rPr>
        <w:t xml:space="preserve"> торговли за 202</w:t>
      </w:r>
      <w:r>
        <w:rPr>
          <w:rFonts w:eastAsia="Times New Roman CYR"/>
          <w:b/>
        </w:rPr>
        <w:t>1</w:t>
      </w:r>
      <w:r w:rsidRPr="00E64B6C">
        <w:rPr>
          <w:rFonts w:eastAsia="Times New Roman CYR"/>
          <w:b/>
        </w:rPr>
        <w:t xml:space="preserve"> год, млн. руб</w:t>
      </w:r>
      <w:r w:rsidRPr="00E64B6C">
        <w:rPr>
          <w:rFonts w:eastAsia="Times New Roman CYR"/>
          <w:i/>
        </w:rPr>
        <w:t>.</w:t>
      </w:r>
    </w:p>
    <w:p w:rsidR="00280DBB" w:rsidRDefault="00280DBB" w:rsidP="00280DBB">
      <w:pPr>
        <w:ind w:firstLine="709"/>
        <w:jc w:val="both"/>
        <w:rPr>
          <w:sz w:val="28"/>
          <w:szCs w:val="28"/>
        </w:rPr>
      </w:pP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Развитие сети розничной торговли и общественного питания с 199</w:t>
      </w:r>
      <w:r w:rsidR="001175D0">
        <w:rPr>
          <w:sz w:val="26"/>
          <w:szCs w:val="26"/>
        </w:rPr>
        <w:t>6 года, представлено в таблице</w:t>
      </w:r>
      <w:r w:rsidRPr="00280DBB">
        <w:rPr>
          <w:sz w:val="26"/>
          <w:szCs w:val="26"/>
        </w:rPr>
        <w:t xml:space="preserve"> 4: </w:t>
      </w:r>
    </w:p>
    <w:p w:rsidR="00280DBB" w:rsidRPr="00280DBB" w:rsidRDefault="00280DBB" w:rsidP="00280DBB">
      <w:pPr>
        <w:ind w:firstLine="709"/>
        <w:jc w:val="right"/>
        <w:rPr>
          <w:sz w:val="26"/>
          <w:szCs w:val="26"/>
        </w:rPr>
      </w:pPr>
      <w:r w:rsidRPr="00280DBB">
        <w:rPr>
          <w:sz w:val="26"/>
          <w:szCs w:val="26"/>
        </w:rPr>
        <w:t>Таблица № 4</w:t>
      </w:r>
    </w:p>
    <w:tbl>
      <w:tblPr>
        <w:tblW w:w="7912" w:type="dxa"/>
        <w:jc w:val="center"/>
        <w:tblInd w:w="2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701"/>
        <w:gridCol w:w="1701"/>
        <w:gridCol w:w="1418"/>
        <w:gridCol w:w="1559"/>
        <w:gridCol w:w="1533"/>
      </w:tblGrid>
      <w:tr w:rsidR="00280DBB" w:rsidRPr="00280DBB" w:rsidTr="00400943">
        <w:trPr>
          <w:trHeight w:val="637"/>
          <w:jc w:val="center"/>
        </w:trPr>
        <w:tc>
          <w:tcPr>
            <w:tcW w:w="1701" w:type="dxa"/>
            <w:vMerge w:val="restart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год</w:t>
            </w:r>
          </w:p>
        </w:tc>
        <w:tc>
          <w:tcPr>
            <w:tcW w:w="3119" w:type="dxa"/>
            <w:gridSpan w:val="2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 xml:space="preserve">Товарооборот </w:t>
            </w:r>
            <w:proofErr w:type="gramStart"/>
            <w:r w:rsidRPr="00280DBB">
              <w:rPr>
                <w:b/>
                <w:sz w:val="20"/>
                <w:szCs w:val="20"/>
              </w:rPr>
              <w:t>розничной</w:t>
            </w:r>
            <w:proofErr w:type="gramEnd"/>
            <w:r w:rsidRPr="00280DBB">
              <w:rPr>
                <w:b/>
                <w:sz w:val="20"/>
                <w:szCs w:val="20"/>
              </w:rPr>
              <w:t xml:space="preserve"> торговли (тыс. руб.)</w:t>
            </w:r>
          </w:p>
        </w:tc>
        <w:tc>
          <w:tcPr>
            <w:tcW w:w="3092" w:type="dxa"/>
            <w:gridSpan w:val="2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>Товарооборот общественного питания (тыс. руб.)</w:t>
            </w:r>
          </w:p>
        </w:tc>
      </w:tr>
      <w:tr w:rsidR="00280DBB" w:rsidRPr="00280DBB" w:rsidTr="00400943">
        <w:trPr>
          <w:trHeight w:val="614"/>
          <w:jc w:val="center"/>
        </w:trPr>
        <w:tc>
          <w:tcPr>
            <w:tcW w:w="1701" w:type="dxa"/>
            <w:vMerge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>На душу населения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b/>
                <w:sz w:val="20"/>
                <w:szCs w:val="20"/>
              </w:rPr>
            </w:pPr>
            <w:r w:rsidRPr="00280DBB">
              <w:rPr>
                <w:b/>
                <w:sz w:val="20"/>
                <w:szCs w:val="20"/>
              </w:rPr>
              <w:t>На душу населения</w:t>
            </w:r>
          </w:p>
        </w:tc>
      </w:tr>
      <w:tr w:rsidR="00280DBB" w:rsidRPr="00280DBB" w:rsidTr="00400943">
        <w:trPr>
          <w:trHeight w:val="507"/>
          <w:jc w:val="center"/>
        </w:trPr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1702172,4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172,11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2191730,4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221,61</w:t>
            </w:r>
          </w:p>
        </w:tc>
      </w:tr>
      <w:tr w:rsidR="00280DBB" w:rsidRPr="00280DBB" w:rsidTr="00400943">
        <w:trPr>
          <w:trHeight w:val="470"/>
          <w:jc w:val="center"/>
        </w:trPr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2022 оценка</w:t>
            </w:r>
          </w:p>
        </w:tc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1929161,5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199,73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2396078,6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248,07</w:t>
            </w:r>
          </w:p>
        </w:tc>
      </w:tr>
      <w:tr w:rsidR="00280DBB" w:rsidRPr="00280DBB" w:rsidTr="00400943">
        <w:trPr>
          <w:trHeight w:val="470"/>
          <w:jc w:val="center"/>
        </w:trPr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2023 прогноз</w:t>
            </w:r>
          </w:p>
        </w:tc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2138950,2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221,72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2703466,8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280,24</w:t>
            </w:r>
          </w:p>
        </w:tc>
      </w:tr>
      <w:tr w:rsidR="00280DBB" w:rsidRPr="00280DBB" w:rsidTr="00400943">
        <w:trPr>
          <w:trHeight w:val="470"/>
          <w:jc w:val="center"/>
        </w:trPr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2024 прогноз</w:t>
            </w:r>
          </w:p>
        </w:tc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2324559,7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241,34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2909833,2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302,10</w:t>
            </w:r>
          </w:p>
        </w:tc>
      </w:tr>
      <w:tr w:rsidR="00280DBB" w:rsidRPr="00280DBB" w:rsidTr="00400943">
        <w:trPr>
          <w:trHeight w:val="408"/>
          <w:jc w:val="center"/>
        </w:trPr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2025 прогноз</w:t>
            </w:r>
          </w:p>
        </w:tc>
        <w:tc>
          <w:tcPr>
            <w:tcW w:w="1701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2502156,1</w:t>
            </w:r>
          </w:p>
        </w:tc>
        <w:tc>
          <w:tcPr>
            <w:tcW w:w="1418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260,21</w:t>
            </w:r>
          </w:p>
        </w:tc>
        <w:tc>
          <w:tcPr>
            <w:tcW w:w="1559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3104946,2</w:t>
            </w:r>
          </w:p>
        </w:tc>
        <w:tc>
          <w:tcPr>
            <w:tcW w:w="1533" w:type="dxa"/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280DBB" w:rsidRPr="00280DBB" w:rsidRDefault="00280DBB" w:rsidP="00C175F4">
            <w:pPr>
              <w:jc w:val="center"/>
              <w:rPr>
                <w:sz w:val="20"/>
                <w:szCs w:val="20"/>
              </w:rPr>
            </w:pPr>
            <w:r w:rsidRPr="00280DBB">
              <w:rPr>
                <w:sz w:val="20"/>
                <w:szCs w:val="20"/>
              </w:rPr>
              <w:t>322,89</w:t>
            </w:r>
          </w:p>
        </w:tc>
      </w:tr>
    </w:tbl>
    <w:p w:rsidR="00280DBB" w:rsidRPr="00280DBB" w:rsidRDefault="00280DBB" w:rsidP="00280DBB">
      <w:pPr>
        <w:spacing w:before="240"/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Северо-Енисейском районе в сфере торговли осуществляют свою деятельность предприятие, учредителем которого является администрация Северо-Енисейского района (ООО «УТ») и предприятие муниципальной формы собственности (МП «Хлебопек»). 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Cs/>
          <w:sz w:val="26"/>
          <w:szCs w:val="26"/>
          <w:u w:val="single"/>
        </w:rPr>
        <w:t>ООО «УТ»</w:t>
      </w:r>
      <w:r w:rsidRPr="00280DBB">
        <w:rPr>
          <w:bCs/>
          <w:sz w:val="26"/>
          <w:szCs w:val="26"/>
        </w:rPr>
        <w:t xml:space="preserve"> - предприятие, которое создано для решения</w:t>
      </w:r>
      <w:r w:rsidRPr="00280DBB">
        <w:rPr>
          <w:sz w:val="26"/>
          <w:szCs w:val="26"/>
        </w:rPr>
        <w:t xml:space="preserve"> </w:t>
      </w:r>
      <w:r w:rsidRPr="00280DBB">
        <w:rPr>
          <w:bCs/>
          <w:sz w:val="26"/>
          <w:szCs w:val="26"/>
        </w:rPr>
        <w:t xml:space="preserve">социально - значимых задач, в том числе по доставке  в район и реализации населению продовольственных и непродовольственных товаров, организации системной работы по централизованному обслуживанию питания школьных учреждений, </w:t>
      </w:r>
      <w:r w:rsidRPr="00280DBB">
        <w:rPr>
          <w:bCs/>
          <w:sz w:val="26"/>
          <w:szCs w:val="26"/>
        </w:rPr>
        <w:lastRenderedPageBreak/>
        <w:t>осуществляет мероприятия по организации общественного питания населения района.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состав ООО «УТ»,  входит </w:t>
      </w:r>
      <w:r w:rsidRPr="00280DBB">
        <w:rPr>
          <w:b/>
          <w:sz w:val="26"/>
          <w:szCs w:val="26"/>
        </w:rPr>
        <w:t>7</w:t>
      </w:r>
      <w:r w:rsidRPr="00280DBB">
        <w:rPr>
          <w:sz w:val="26"/>
          <w:szCs w:val="26"/>
        </w:rPr>
        <w:t xml:space="preserve"> подразделений </w:t>
      </w:r>
      <w:proofErr w:type="gramStart"/>
      <w:r w:rsidRPr="00280DBB">
        <w:rPr>
          <w:sz w:val="26"/>
          <w:szCs w:val="26"/>
        </w:rPr>
        <w:t>розничной</w:t>
      </w:r>
      <w:proofErr w:type="gramEnd"/>
      <w:r w:rsidRPr="00280DBB">
        <w:rPr>
          <w:sz w:val="26"/>
          <w:szCs w:val="26"/>
        </w:rPr>
        <w:t xml:space="preserve"> торговли и </w:t>
      </w:r>
      <w:r w:rsidRPr="00280DBB">
        <w:rPr>
          <w:b/>
          <w:sz w:val="26"/>
          <w:szCs w:val="26"/>
        </w:rPr>
        <w:t>1</w:t>
      </w:r>
      <w:r w:rsidRPr="00280DBB">
        <w:rPr>
          <w:sz w:val="26"/>
          <w:szCs w:val="26"/>
        </w:rPr>
        <w:t xml:space="preserve"> подразделение общественного питания (кафе «Березка»).</w:t>
      </w:r>
    </w:p>
    <w:p w:rsidR="00280DBB" w:rsidRPr="00280DBB" w:rsidRDefault="00280DBB" w:rsidP="00280DBB">
      <w:pPr>
        <w:pStyle w:val="ab"/>
        <w:ind w:firstLine="567"/>
        <w:jc w:val="both"/>
        <w:rPr>
          <w:rFonts w:ascii="Times New Roman" w:hAnsi="Times New Roman"/>
          <w:sz w:val="26"/>
          <w:szCs w:val="26"/>
        </w:rPr>
      </w:pPr>
      <w:r w:rsidRPr="00280DBB">
        <w:rPr>
          <w:rFonts w:ascii="Times New Roman" w:hAnsi="Times New Roman"/>
          <w:sz w:val="26"/>
          <w:szCs w:val="26"/>
        </w:rPr>
        <w:t xml:space="preserve">ООО «УТ» является единственным предприятием, </w:t>
      </w:r>
      <w:r w:rsidRPr="00280DBB">
        <w:rPr>
          <w:rFonts w:ascii="Times New Roman" w:hAnsi="Times New Roman"/>
          <w:sz w:val="26"/>
          <w:szCs w:val="26"/>
          <w:u w:val="single"/>
        </w:rPr>
        <w:t>сдерживающим ценовую политику на территории района</w:t>
      </w:r>
      <w:r w:rsidRPr="00280DBB">
        <w:rPr>
          <w:rFonts w:ascii="Times New Roman" w:hAnsi="Times New Roman"/>
          <w:sz w:val="26"/>
          <w:szCs w:val="26"/>
        </w:rPr>
        <w:t xml:space="preserve">, кроме того предприятие осуществляет питания пациентов в лечебных учреждениях здравоохранения Северо-Енисейского района, а также </w:t>
      </w:r>
      <w:r w:rsidRPr="00280DBB">
        <w:rPr>
          <w:rFonts w:ascii="Times New Roman" w:hAnsi="Times New Roman"/>
          <w:bCs/>
          <w:sz w:val="26"/>
          <w:szCs w:val="26"/>
        </w:rPr>
        <w:t xml:space="preserve">лиц, находящихся на временном содержании в </w:t>
      </w:r>
      <w:r w:rsidRPr="00280DBB">
        <w:rPr>
          <w:rFonts w:ascii="Times New Roman" w:hAnsi="Times New Roman"/>
          <w:sz w:val="26"/>
          <w:szCs w:val="26"/>
        </w:rPr>
        <w:t>ОМВД по Северо-Енисейскому району.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Для выполнения социальных задач, а именно производства хлеба, хлебобулочных и кондитерских изделий, создано муниципальное предприятие Северо-Енисейского района «Хлебопек».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  <w:u w:val="single"/>
        </w:rPr>
        <w:t>МП «Хлебопек»</w:t>
      </w:r>
      <w:r w:rsidRPr="00280DBB">
        <w:rPr>
          <w:sz w:val="26"/>
          <w:szCs w:val="26"/>
        </w:rPr>
        <w:t xml:space="preserve"> - предприятие, основным предметом деятельности которого является производство хлеба и хлебобулочных изделий. Хлеб производится каждый день в течение всей недели, в среднем за сутки около </w:t>
      </w:r>
      <w:r w:rsidRPr="00280DBB">
        <w:rPr>
          <w:sz w:val="26"/>
          <w:szCs w:val="26"/>
          <w:shd w:val="clear" w:color="auto" w:fill="FFFFFF"/>
        </w:rPr>
        <w:t>1,5 тонн х</w:t>
      </w:r>
      <w:r w:rsidRPr="00280DBB">
        <w:rPr>
          <w:sz w:val="26"/>
          <w:szCs w:val="26"/>
        </w:rPr>
        <w:t>леба, хлебобулочных и кондитерских изделий.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Главной целью МП «Хлебопек» является удовлетворение потребностей населения в свежем хлебе и хлебобулочных изделиях.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За 2021 год МП «Хлебопек» выпустил </w:t>
      </w:r>
      <w:r w:rsidRPr="00280DBB">
        <w:rPr>
          <w:b/>
          <w:sz w:val="26"/>
          <w:szCs w:val="26"/>
        </w:rPr>
        <w:t>491,0 тонн</w:t>
      </w:r>
      <w:r w:rsidRPr="00280DBB">
        <w:rPr>
          <w:sz w:val="26"/>
          <w:szCs w:val="26"/>
        </w:rPr>
        <w:t xml:space="preserve"> хлеба, хлебобулочных и кондитерских изделий, в том числе:</w:t>
      </w:r>
    </w:p>
    <w:p w:rsidR="00280DBB" w:rsidRPr="00280DBB" w:rsidRDefault="00280DBB" w:rsidP="00280DBB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Хлеб пшеничный 1 сорта – </w:t>
      </w:r>
      <w:r w:rsidRPr="00280DBB">
        <w:rPr>
          <w:b/>
          <w:sz w:val="26"/>
          <w:szCs w:val="26"/>
        </w:rPr>
        <w:t>309,8 тонн</w:t>
      </w:r>
      <w:r w:rsidRPr="00280DBB">
        <w:rPr>
          <w:sz w:val="26"/>
          <w:szCs w:val="26"/>
        </w:rPr>
        <w:t>;</w:t>
      </w:r>
    </w:p>
    <w:p w:rsidR="00280DBB" w:rsidRPr="00280DBB" w:rsidRDefault="00280DBB" w:rsidP="00280DBB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Хлеб «Украинский» – </w:t>
      </w:r>
      <w:r w:rsidRPr="00280DBB">
        <w:rPr>
          <w:b/>
          <w:sz w:val="26"/>
          <w:szCs w:val="26"/>
        </w:rPr>
        <w:t>79,9 тонн</w:t>
      </w:r>
      <w:r w:rsidRPr="00280DBB">
        <w:rPr>
          <w:sz w:val="26"/>
          <w:szCs w:val="26"/>
        </w:rPr>
        <w:t>;</w:t>
      </w:r>
    </w:p>
    <w:p w:rsidR="00280DBB" w:rsidRPr="00280DBB" w:rsidRDefault="00280DBB" w:rsidP="00280DBB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Прочие сорта хлеба – </w:t>
      </w:r>
      <w:r w:rsidRPr="00280DBB">
        <w:rPr>
          <w:b/>
          <w:sz w:val="26"/>
          <w:szCs w:val="26"/>
        </w:rPr>
        <w:t>68,1 тонн</w:t>
      </w:r>
      <w:r w:rsidRPr="00280DBB">
        <w:rPr>
          <w:sz w:val="26"/>
          <w:szCs w:val="26"/>
        </w:rPr>
        <w:t>;</w:t>
      </w:r>
    </w:p>
    <w:p w:rsidR="00280DBB" w:rsidRPr="00280DBB" w:rsidRDefault="00280DBB" w:rsidP="00280DBB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b/>
          <w:sz w:val="26"/>
          <w:szCs w:val="26"/>
        </w:rPr>
      </w:pPr>
      <w:r w:rsidRPr="00280DBB">
        <w:rPr>
          <w:sz w:val="26"/>
          <w:szCs w:val="26"/>
        </w:rPr>
        <w:t xml:space="preserve">Сдобы – </w:t>
      </w:r>
      <w:r w:rsidRPr="00280DBB">
        <w:rPr>
          <w:b/>
          <w:sz w:val="26"/>
          <w:szCs w:val="26"/>
        </w:rPr>
        <w:t>29,6 тонн</w:t>
      </w:r>
      <w:r w:rsidRPr="00280DBB">
        <w:rPr>
          <w:sz w:val="26"/>
          <w:szCs w:val="26"/>
        </w:rPr>
        <w:t>;</w:t>
      </w:r>
    </w:p>
    <w:p w:rsidR="00280DBB" w:rsidRPr="00280DBB" w:rsidRDefault="00280DBB" w:rsidP="00280DBB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b/>
          <w:sz w:val="26"/>
          <w:szCs w:val="26"/>
        </w:rPr>
      </w:pPr>
      <w:r w:rsidRPr="00280DBB">
        <w:rPr>
          <w:sz w:val="26"/>
          <w:szCs w:val="26"/>
        </w:rPr>
        <w:t xml:space="preserve">Кондитерских изделий – </w:t>
      </w:r>
      <w:r w:rsidRPr="00280DBB">
        <w:rPr>
          <w:b/>
          <w:sz w:val="26"/>
          <w:szCs w:val="26"/>
        </w:rPr>
        <w:t>3,6 тонн.</w:t>
      </w:r>
    </w:p>
    <w:p w:rsidR="00E642C3" w:rsidRDefault="00E642C3" w:rsidP="00280DBB">
      <w:pPr>
        <w:ind w:firstLine="567"/>
        <w:jc w:val="both"/>
        <w:rPr>
          <w:sz w:val="26"/>
          <w:szCs w:val="26"/>
        </w:rPr>
      </w:pP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На территории Северо-Енисейского района по состоянию на 01.01.202021 г. действует 1 смешанный розничный рынок частной формы собственности на </w:t>
      </w:r>
      <w:r w:rsidRPr="00280DBB">
        <w:rPr>
          <w:b/>
          <w:sz w:val="26"/>
          <w:szCs w:val="26"/>
        </w:rPr>
        <w:t>46</w:t>
      </w:r>
      <w:r w:rsidRPr="00280DBB">
        <w:rPr>
          <w:sz w:val="26"/>
          <w:szCs w:val="26"/>
        </w:rPr>
        <w:t xml:space="preserve"> торговых мест.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Работа предприятий малого бизнеса и частных предпринимателей очень </w:t>
      </w:r>
      <w:proofErr w:type="gramStart"/>
      <w:r w:rsidRPr="00280DBB">
        <w:rPr>
          <w:sz w:val="26"/>
          <w:szCs w:val="26"/>
        </w:rPr>
        <w:t>мобильна и оперативна</w:t>
      </w:r>
      <w:proofErr w:type="gramEnd"/>
      <w:r w:rsidRPr="00280DBB">
        <w:rPr>
          <w:sz w:val="26"/>
          <w:szCs w:val="26"/>
        </w:rPr>
        <w:t xml:space="preserve">. Данные предприятия и предприниматели быстро реагируют на спрос населения, поэтому в их торговых </w:t>
      </w:r>
      <w:proofErr w:type="gramStart"/>
      <w:r w:rsidRPr="00280DBB">
        <w:rPr>
          <w:sz w:val="26"/>
          <w:szCs w:val="26"/>
        </w:rPr>
        <w:t>магазинах</w:t>
      </w:r>
      <w:proofErr w:type="gramEnd"/>
      <w:r w:rsidRPr="00280DBB">
        <w:rPr>
          <w:sz w:val="26"/>
          <w:szCs w:val="26"/>
        </w:rPr>
        <w:t xml:space="preserve">, павильонах имеются в наличии все товары первой необходимости. 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В последующие годы товарооборот частной торговой сети будет увеличиваться, соответственно будет расти их доля в общем объеме товарооборота.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При этом, район будет прилагать все усилия для сохранения муниципальной торговли, как самого эффективного рычага в вопросах ценообразования и качественного решения социальных вопросов.</w:t>
      </w:r>
    </w:p>
    <w:p w:rsidR="00E642C3" w:rsidRDefault="00E642C3" w:rsidP="00280DBB">
      <w:pPr>
        <w:pStyle w:val="1"/>
        <w:numPr>
          <w:ilvl w:val="0"/>
          <w:numId w:val="0"/>
        </w:numPr>
        <w:rPr>
          <w:sz w:val="28"/>
          <w:szCs w:val="28"/>
        </w:rPr>
      </w:pPr>
      <w:bookmarkStart w:id="12" w:name="_Toc361390365"/>
      <w:bookmarkStart w:id="13" w:name="_Toc49869675"/>
    </w:p>
    <w:p w:rsidR="00280DBB" w:rsidRPr="00280DBB" w:rsidRDefault="001175D0" w:rsidP="00280DBB">
      <w:pPr>
        <w:pStyle w:val="1"/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8</w:t>
      </w:r>
      <w:r w:rsidR="00280DBB" w:rsidRPr="00280DBB">
        <w:rPr>
          <w:sz w:val="28"/>
          <w:szCs w:val="28"/>
        </w:rPr>
        <w:t>. Общественное питание</w:t>
      </w:r>
      <w:bookmarkEnd w:id="12"/>
      <w:bookmarkEnd w:id="13"/>
    </w:p>
    <w:p w:rsidR="00280DBB" w:rsidRPr="00E64B6C" w:rsidRDefault="00280DBB" w:rsidP="00280DBB"/>
    <w:p w:rsidR="00280DBB" w:rsidRPr="00E642C3" w:rsidRDefault="00280DBB" w:rsidP="00280DBB">
      <w:pPr>
        <w:ind w:firstLine="709"/>
        <w:jc w:val="both"/>
        <w:rPr>
          <w:sz w:val="26"/>
          <w:szCs w:val="26"/>
        </w:rPr>
      </w:pPr>
      <w:r w:rsidRPr="00E642C3">
        <w:rPr>
          <w:sz w:val="26"/>
          <w:szCs w:val="26"/>
        </w:rPr>
        <w:t xml:space="preserve">По состоянию на 01.01.2022 в районе имеется </w:t>
      </w:r>
      <w:r w:rsidRPr="00E642C3">
        <w:rPr>
          <w:b/>
          <w:sz w:val="26"/>
          <w:szCs w:val="26"/>
        </w:rPr>
        <w:t>27</w:t>
      </w:r>
      <w:r w:rsidRPr="00E642C3">
        <w:rPr>
          <w:sz w:val="26"/>
          <w:szCs w:val="26"/>
        </w:rPr>
        <w:t xml:space="preserve"> объектов общественного питания, в том числе </w:t>
      </w:r>
      <w:r w:rsidRPr="00E642C3">
        <w:rPr>
          <w:b/>
          <w:sz w:val="26"/>
          <w:szCs w:val="26"/>
        </w:rPr>
        <w:t>6</w:t>
      </w:r>
      <w:r w:rsidRPr="00E642C3">
        <w:rPr>
          <w:sz w:val="26"/>
          <w:szCs w:val="26"/>
        </w:rPr>
        <w:t xml:space="preserve"> школьных столовых, </w:t>
      </w:r>
      <w:r w:rsidRPr="00E642C3">
        <w:rPr>
          <w:b/>
          <w:sz w:val="26"/>
          <w:szCs w:val="26"/>
        </w:rPr>
        <w:t>9</w:t>
      </w:r>
      <w:r w:rsidRPr="00E642C3">
        <w:rPr>
          <w:sz w:val="26"/>
          <w:szCs w:val="26"/>
        </w:rPr>
        <w:t xml:space="preserve"> столовых промышленных предприятий и </w:t>
      </w:r>
      <w:r w:rsidRPr="00E642C3">
        <w:rPr>
          <w:b/>
          <w:sz w:val="26"/>
          <w:szCs w:val="26"/>
        </w:rPr>
        <w:t>11</w:t>
      </w:r>
      <w:r w:rsidRPr="00E642C3">
        <w:rPr>
          <w:sz w:val="26"/>
          <w:szCs w:val="26"/>
        </w:rPr>
        <w:t xml:space="preserve"> общедоступных предприятий общественного питания. </w:t>
      </w:r>
    </w:p>
    <w:p w:rsidR="00280DBB" w:rsidRPr="00E642C3" w:rsidRDefault="00280DBB" w:rsidP="00280DBB">
      <w:pPr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642C3">
        <w:rPr>
          <w:rFonts w:ascii="Times New Roman CYR" w:hAnsi="Times New Roman CYR" w:cs="Times New Roman CYR"/>
          <w:sz w:val="26"/>
          <w:szCs w:val="26"/>
        </w:rPr>
        <w:t xml:space="preserve">Оборот общественного питания за 2021 год по району составил  </w:t>
      </w:r>
      <w:r w:rsidRPr="00E642C3">
        <w:rPr>
          <w:rFonts w:ascii="Times New Roman CYR" w:hAnsi="Times New Roman CYR" w:cs="Times New Roman CYR"/>
          <w:b/>
          <w:sz w:val="26"/>
          <w:szCs w:val="26"/>
        </w:rPr>
        <w:t xml:space="preserve">2 191,73 </w:t>
      </w:r>
      <w:r w:rsidRPr="00E642C3">
        <w:rPr>
          <w:rFonts w:ascii="Times New Roman CYR" w:hAnsi="Times New Roman CYR" w:cs="Times New Roman CYR"/>
          <w:b/>
          <w:bCs/>
          <w:sz w:val="26"/>
          <w:szCs w:val="26"/>
        </w:rPr>
        <w:t>млн. руб</w:t>
      </w:r>
      <w:r w:rsidRPr="00E642C3">
        <w:rPr>
          <w:rFonts w:ascii="Times New Roman CYR" w:hAnsi="Times New Roman CYR" w:cs="Times New Roman CYR"/>
          <w:sz w:val="26"/>
          <w:szCs w:val="26"/>
        </w:rPr>
        <w:t xml:space="preserve">. и вырос на 42,8% по сравнению с 2020 годом. </w:t>
      </w:r>
    </w:p>
    <w:p w:rsidR="00280DBB" w:rsidRPr="00E642C3" w:rsidRDefault="00280DBB" w:rsidP="00280DBB">
      <w:pPr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E642C3">
        <w:rPr>
          <w:rFonts w:ascii="Times New Roman CYR" w:hAnsi="Times New Roman CYR" w:cs="Times New Roman CYR"/>
          <w:sz w:val="26"/>
          <w:szCs w:val="26"/>
        </w:rPr>
        <w:t xml:space="preserve">По оценке 2022 года данный показатель составит </w:t>
      </w:r>
      <w:r w:rsidRPr="00E642C3">
        <w:rPr>
          <w:rFonts w:ascii="Times New Roman CYR" w:hAnsi="Times New Roman CYR" w:cs="Times New Roman CYR"/>
          <w:b/>
          <w:sz w:val="26"/>
          <w:szCs w:val="26"/>
        </w:rPr>
        <w:t>2 396,08 млн. руб.,</w:t>
      </w:r>
      <w:r w:rsidRPr="00E642C3">
        <w:rPr>
          <w:rFonts w:ascii="Times New Roman CYR" w:hAnsi="Times New Roman CYR" w:cs="Times New Roman CYR"/>
          <w:sz w:val="26"/>
          <w:szCs w:val="26"/>
        </w:rPr>
        <w:t xml:space="preserve"> по прогнозу 2023 года – </w:t>
      </w:r>
      <w:r w:rsidRPr="00E642C3">
        <w:rPr>
          <w:rFonts w:ascii="Times New Roman CYR" w:hAnsi="Times New Roman CYR" w:cs="Times New Roman CYR"/>
          <w:b/>
          <w:sz w:val="26"/>
          <w:szCs w:val="26"/>
        </w:rPr>
        <w:t>2 703,47 млн. руб.,</w:t>
      </w:r>
      <w:r w:rsidRPr="00E642C3">
        <w:rPr>
          <w:rFonts w:ascii="Times New Roman CYR" w:hAnsi="Times New Roman CYR" w:cs="Times New Roman CYR"/>
          <w:sz w:val="26"/>
          <w:szCs w:val="26"/>
        </w:rPr>
        <w:t xml:space="preserve"> по прогнозу 2024 года – </w:t>
      </w:r>
      <w:r w:rsidRPr="00E642C3">
        <w:rPr>
          <w:rFonts w:ascii="Times New Roman CYR" w:hAnsi="Times New Roman CYR" w:cs="Times New Roman CYR"/>
          <w:b/>
          <w:sz w:val="26"/>
          <w:szCs w:val="26"/>
        </w:rPr>
        <w:t>2 909,83 млн. руб</w:t>
      </w:r>
      <w:r w:rsidRPr="00E642C3">
        <w:rPr>
          <w:rFonts w:ascii="Times New Roman CYR" w:hAnsi="Times New Roman CYR" w:cs="Times New Roman CYR"/>
          <w:sz w:val="26"/>
          <w:szCs w:val="26"/>
        </w:rPr>
        <w:t xml:space="preserve">., по прогнозу 2025 года – </w:t>
      </w:r>
      <w:r w:rsidRPr="00E642C3">
        <w:rPr>
          <w:rFonts w:ascii="Times New Roman CYR" w:hAnsi="Times New Roman CYR" w:cs="Times New Roman CYR"/>
          <w:b/>
          <w:sz w:val="26"/>
          <w:szCs w:val="26"/>
        </w:rPr>
        <w:t>3 104,95 млн. руб.</w:t>
      </w:r>
    </w:p>
    <w:p w:rsidR="00280DBB" w:rsidRPr="00280DBB" w:rsidRDefault="00280DBB" w:rsidP="00280DBB">
      <w:pPr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E642C3" w:rsidRDefault="00E642C3" w:rsidP="00280DBB">
      <w:pPr>
        <w:ind w:firstLine="709"/>
        <w:jc w:val="both"/>
        <w:rPr>
          <w:sz w:val="26"/>
          <w:szCs w:val="26"/>
        </w:rPr>
      </w:pPr>
    </w:p>
    <w:p w:rsidR="00E642C3" w:rsidRDefault="00E642C3" w:rsidP="00280DBB">
      <w:pPr>
        <w:ind w:firstLine="709"/>
        <w:jc w:val="both"/>
        <w:rPr>
          <w:sz w:val="26"/>
          <w:szCs w:val="26"/>
        </w:rPr>
      </w:pPr>
    </w:p>
    <w:p w:rsid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оборота общественного питания представлена на рисунке </w:t>
      </w:r>
      <w:r w:rsidR="00540D77">
        <w:rPr>
          <w:sz w:val="26"/>
          <w:szCs w:val="26"/>
        </w:rPr>
        <w:t>1</w:t>
      </w:r>
      <w:r w:rsidR="001175D0">
        <w:rPr>
          <w:sz w:val="26"/>
          <w:szCs w:val="26"/>
        </w:rPr>
        <w:t>6</w:t>
      </w:r>
      <w:r w:rsidRPr="00280DBB">
        <w:rPr>
          <w:sz w:val="26"/>
          <w:szCs w:val="26"/>
        </w:rPr>
        <w:t>:</w:t>
      </w:r>
    </w:p>
    <w:p w:rsidR="00E642C3" w:rsidRPr="00280DBB" w:rsidRDefault="00E642C3" w:rsidP="00280DBB">
      <w:pPr>
        <w:ind w:firstLine="709"/>
        <w:jc w:val="both"/>
        <w:rPr>
          <w:sz w:val="26"/>
          <w:szCs w:val="26"/>
        </w:rPr>
      </w:pPr>
    </w:p>
    <w:p w:rsidR="00280DBB" w:rsidRPr="00E64B6C" w:rsidRDefault="00280DBB" w:rsidP="00280DBB">
      <w:pPr>
        <w:jc w:val="center"/>
        <w:rPr>
          <w:b/>
          <w:sz w:val="28"/>
          <w:szCs w:val="28"/>
        </w:rPr>
      </w:pPr>
      <w:r w:rsidRPr="00E64B6C">
        <w:rPr>
          <w:b/>
          <w:noProof/>
          <w:sz w:val="28"/>
          <w:szCs w:val="28"/>
        </w:rPr>
        <w:drawing>
          <wp:inline distT="0" distB="0" distL="0" distR="0">
            <wp:extent cx="5572125" cy="1838325"/>
            <wp:effectExtent l="19050" t="0" r="9525" b="0"/>
            <wp:docPr id="304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80DBB" w:rsidRPr="00E64B6C" w:rsidRDefault="00280DBB" w:rsidP="00280DBB">
      <w:pPr>
        <w:ind w:firstLine="709"/>
        <w:jc w:val="center"/>
        <w:rPr>
          <w:b/>
        </w:rPr>
      </w:pPr>
      <w:r w:rsidRPr="00E64B6C">
        <w:rPr>
          <w:b/>
        </w:rPr>
        <w:t xml:space="preserve">Рис </w:t>
      </w:r>
      <w:r w:rsidR="00540D77">
        <w:rPr>
          <w:b/>
        </w:rPr>
        <w:t>1</w:t>
      </w:r>
      <w:r w:rsidR="001175D0">
        <w:rPr>
          <w:b/>
        </w:rPr>
        <w:t>6</w:t>
      </w:r>
      <w:r w:rsidRPr="00E64B6C">
        <w:rPr>
          <w:b/>
        </w:rPr>
        <w:t>. Оборот общественного питания, млн. руб.</w:t>
      </w:r>
    </w:p>
    <w:p w:rsidR="00280DBB" w:rsidRDefault="00280DBB" w:rsidP="00280DBB"/>
    <w:p w:rsidR="00280DBB" w:rsidRPr="00DC7C2A" w:rsidRDefault="001175D0" w:rsidP="00280DBB">
      <w:pPr>
        <w:pStyle w:val="2"/>
        <w:numPr>
          <w:ilvl w:val="0"/>
          <w:numId w:val="0"/>
        </w:numPr>
        <w:jc w:val="center"/>
      </w:pPr>
      <w:bookmarkStart w:id="14" w:name="_Toc49869678"/>
      <w:r>
        <w:t>9</w:t>
      </w:r>
      <w:r w:rsidR="00280DBB">
        <w:t xml:space="preserve">.  </w:t>
      </w:r>
      <w:r w:rsidR="00280DBB" w:rsidRPr="00DC7C2A">
        <w:t>Платные услуги населению.</w:t>
      </w:r>
      <w:bookmarkEnd w:id="14"/>
    </w:p>
    <w:p w:rsidR="00280DBB" w:rsidRPr="00DC7C2A" w:rsidRDefault="00280DBB" w:rsidP="00280DBB"/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По состоянию на 01.01.2022 года на территории Северо-Енисейского района оказывают платные услуги населению – 54 объекта, в том числе: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/>
          <w:sz w:val="26"/>
          <w:szCs w:val="26"/>
        </w:rPr>
        <w:t>4</w:t>
      </w:r>
      <w:r w:rsidRPr="00280DBB">
        <w:rPr>
          <w:sz w:val="26"/>
          <w:szCs w:val="26"/>
        </w:rPr>
        <w:t xml:space="preserve"> </w:t>
      </w:r>
      <w:proofErr w:type="gramStart"/>
      <w:r w:rsidRPr="00280DBB">
        <w:rPr>
          <w:sz w:val="26"/>
          <w:szCs w:val="26"/>
        </w:rPr>
        <w:t>оказывающих</w:t>
      </w:r>
      <w:proofErr w:type="gramEnd"/>
      <w:r w:rsidRPr="00280DBB">
        <w:rPr>
          <w:sz w:val="26"/>
          <w:szCs w:val="26"/>
        </w:rPr>
        <w:t xml:space="preserve"> услуги по ремонту одежды; </w:t>
      </w:r>
    </w:p>
    <w:p w:rsidR="00280DBB" w:rsidRPr="00280DBB" w:rsidRDefault="00280DBB" w:rsidP="00280DBB">
      <w:pPr>
        <w:ind w:firstLine="567"/>
        <w:jc w:val="both"/>
        <w:rPr>
          <w:b/>
          <w:sz w:val="26"/>
          <w:szCs w:val="26"/>
        </w:rPr>
      </w:pPr>
      <w:r w:rsidRPr="00280DBB">
        <w:rPr>
          <w:b/>
          <w:sz w:val="26"/>
          <w:szCs w:val="26"/>
        </w:rPr>
        <w:t xml:space="preserve">15 </w:t>
      </w:r>
      <w:r w:rsidRPr="00280DBB">
        <w:rPr>
          <w:sz w:val="26"/>
          <w:szCs w:val="26"/>
        </w:rPr>
        <w:t>оказывающих услуги по ремонту и обслуживанию автомобилей;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/>
          <w:sz w:val="26"/>
          <w:szCs w:val="26"/>
        </w:rPr>
        <w:t>23</w:t>
      </w:r>
      <w:r w:rsidRPr="00280DBB">
        <w:rPr>
          <w:sz w:val="26"/>
          <w:szCs w:val="26"/>
        </w:rPr>
        <w:t xml:space="preserve"> оказывающих услуги парикмахерских, салонов красоты;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/>
          <w:sz w:val="26"/>
          <w:szCs w:val="26"/>
        </w:rPr>
        <w:t>2</w:t>
      </w:r>
      <w:r w:rsidRPr="00280DBB">
        <w:rPr>
          <w:sz w:val="26"/>
          <w:szCs w:val="26"/>
        </w:rPr>
        <w:t xml:space="preserve"> оказывающих услуги фотоателье.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/>
          <w:sz w:val="26"/>
          <w:szCs w:val="26"/>
        </w:rPr>
        <w:t>1</w:t>
      </w:r>
      <w:r w:rsidRPr="00280DBB">
        <w:rPr>
          <w:sz w:val="26"/>
          <w:szCs w:val="26"/>
        </w:rPr>
        <w:t xml:space="preserve"> </w:t>
      </w:r>
      <w:proofErr w:type="gramStart"/>
      <w:r w:rsidRPr="00280DBB">
        <w:rPr>
          <w:sz w:val="26"/>
          <w:szCs w:val="26"/>
        </w:rPr>
        <w:t>оказывающий</w:t>
      </w:r>
      <w:proofErr w:type="gramEnd"/>
      <w:r w:rsidRPr="00280DBB">
        <w:rPr>
          <w:sz w:val="26"/>
          <w:szCs w:val="26"/>
        </w:rPr>
        <w:t xml:space="preserve"> услуги по ремонту, окраске и пошиву обуви;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b/>
          <w:sz w:val="26"/>
          <w:szCs w:val="26"/>
        </w:rPr>
        <w:t>6</w:t>
      </w:r>
      <w:r w:rsidRPr="00280DBB">
        <w:rPr>
          <w:sz w:val="26"/>
          <w:szCs w:val="26"/>
        </w:rPr>
        <w:t xml:space="preserve"> </w:t>
      </w:r>
      <w:proofErr w:type="gramStart"/>
      <w:r w:rsidRPr="00280DBB">
        <w:rPr>
          <w:sz w:val="26"/>
          <w:szCs w:val="26"/>
        </w:rPr>
        <w:t>оказывающих</w:t>
      </w:r>
      <w:proofErr w:type="gramEnd"/>
      <w:r w:rsidRPr="00280DBB">
        <w:rPr>
          <w:sz w:val="26"/>
          <w:szCs w:val="26"/>
        </w:rPr>
        <w:t xml:space="preserve"> прочие услуги.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В 2021 году объем платных услуг, оказанных населению,  составил </w:t>
      </w:r>
      <w:r w:rsidRPr="00280DBB">
        <w:rPr>
          <w:b/>
          <w:sz w:val="26"/>
          <w:szCs w:val="26"/>
        </w:rPr>
        <w:t>374 502,61 тыс. руб.</w:t>
      </w:r>
      <w:r w:rsidRPr="00280DBB">
        <w:rPr>
          <w:sz w:val="26"/>
          <w:szCs w:val="26"/>
        </w:rPr>
        <w:t xml:space="preserve">, в сопоставимых ценах </w:t>
      </w:r>
      <w:r w:rsidR="00E642C3">
        <w:rPr>
          <w:sz w:val="26"/>
          <w:szCs w:val="26"/>
        </w:rPr>
        <w:t>увеличилась</w:t>
      </w:r>
      <w:r w:rsidRPr="00280DBB">
        <w:rPr>
          <w:sz w:val="26"/>
          <w:szCs w:val="26"/>
        </w:rPr>
        <w:t xml:space="preserve"> на </w:t>
      </w:r>
      <w:r w:rsidRPr="00280DBB">
        <w:rPr>
          <w:b/>
          <w:sz w:val="26"/>
          <w:szCs w:val="26"/>
        </w:rPr>
        <w:t>17,56%</w:t>
      </w:r>
      <w:r w:rsidRPr="00280DBB">
        <w:rPr>
          <w:sz w:val="26"/>
          <w:szCs w:val="26"/>
        </w:rPr>
        <w:t xml:space="preserve"> по отношению к 2020 году. </w:t>
      </w:r>
    </w:p>
    <w:p w:rsidR="00280DBB" w:rsidRP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 оценке 2022 года объем платных услуг составит – </w:t>
      </w:r>
      <w:r w:rsidRPr="00280DBB">
        <w:rPr>
          <w:b/>
          <w:sz w:val="26"/>
          <w:szCs w:val="26"/>
        </w:rPr>
        <w:t>383 379,08 тыс. руб</w:t>
      </w:r>
      <w:r w:rsidRPr="00280DBB">
        <w:rPr>
          <w:sz w:val="26"/>
          <w:szCs w:val="26"/>
        </w:rPr>
        <w:t xml:space="preserve">., по прогнозу на 2023 год – </w:t>
      </w:r>
      <w:r w:rsidRPr="00280DBB">
        <w:rPr>
          <w:b/>
          <w:sz w:val="26"/>
          <w:szCs w:val="26"/>
        </w:rPr>
        <w:t>416 775,23 тыс. руб</w:t>
      </w:r>
      <w:r w:rsidRPr="00280DBB">
        <w:rPr>
          <w:sz w:val="26"/>
          <w:szCs w:val="26"/>
        </w:rPr>
        <w:t xml:space="preserve">., по прогнозу на 2024 год – </w:t>
      </w:r>
      <w:r w:rsidRPr="00280DBB">
        <w:rPr>
          <w:b/>
          <w:sz w:val="26"/>
          <w:szCs w:val="26"/>
        </w:rPr>
        <w:t>448 176,74 тыс. руб</w:t>
      </w:r>
      <w:r w:rsidRPr="00280DBB">
        <w:rPr>
          <w:sz w:val="26"/>
          <w:szCs w:val="26"/>
        </w:rPr>
        <w:t xml:space="preserve">., по прогнозу на 2025 год – </w:t>
      </w:r>
      <w:r w:rsidRPr="00280DBB">
        <w:rPr>
          <w:b/>
          <w:sz w:val="26"/>
          <w:szCs w:val="26"/>
        </w:rPr>
        <w:t>479 180,49 тыс. руб</w:t>
      </w:r>
      <w:r w:rsidRPr="00280DBB">
        <w:rPr>
          <w:sz w:val="26"/>
          <w:szCs w:val="26"/>
        </w:rPr>
        <w:t xml:space="preserve">. </w:t>
      </w:r>
    </w:p>
    <w:p w:rsidR="00E642C3" w:rsidRDefault="00E642C3" w:rsidP="00280DBB">
      <w:pPr>
        <w:ind w:firstLine="567"/>
        <w:jc w:val="both"/>
        <w:rPr>
          <w:sz w:val="26"/>
          <w:szCs w:val="26"/>
        </w:rPr>
      </w:pPr>
    </w:p>
    <w:p w:rsidR="00280DBB" w:rsidRDefault="00280DBB" w:rsidP="00280DBB">
      <w:pPr>
        <w:ind w:firstLine="567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объема платных услуг, оказанных населению, представлена на рисунке </w:t>
      </w:r>
      <w:r w:rsidR="00540D77">
        <w:rPr>
          <w:sz w:val="26"/>
          <w:szCs w:val="26"/>
        </w:rPr>
        <w:t>1</w:t>
      </w:r>
      <w:r w:rsidR="001175D0">
        <w:rPr>
          <w:sz w:val="26"/>
          <w:szCs w:val="26"/>
        </w:rPr>
        <w:t>7</w:t>
      </w:r>
      <w:r w:rsidRPr="00280DBB">
        <w:rPr>
          <w:sz w:val="26"/>
          <w:szCs w:val="26"/>
        </w:rPr>
        <w:t>:</w:t>
      </w:r>
    </w:p>
    <w:p w:rsidR="00E642C3" w:rsidRPr="00280DBB" w:rsidRDefault="00E642C3" w:rsidP="00280DBB">
      <w:pPr>
        <w:ind w:firstLine="567"/>
        <w:jc w:val="both"/>
        <w:rPr>
          <w:sz w:val="26"/>
          <w:szCs w:val="26"/>
        </w:rPr>
      </w:pPr>
    </w:p>
    <w:p w:rsidR="00280DBB" w:rsidRPr="00DC7C2A" w:rsidRDefault="00280DBB" w:rsidP="00280DBB">
      <w:pPr>
        <w:tabs>
          <w:tab w:val="left" w:pos="7263"/>
        </w:tabs>
        <w:jc w:val="center"/>
        <w:rPr>
          <w:color w:val="FF0000"/>
          <w:sz w:val="28"/>
          <w:szCs w:val="28"/>
        </w:rPr>
      </w:pPr>
      <w:r w:rsidRPr="00DC7C2A">
        <w:rPr>
          <w:noProof/>
          <w:color w:val="FF0000"/>
          <w:sz w:val="28"/>
          <w:szCs w:val="28"/>
        </w:rPr>
        <w:drawing>
          <wp:inline distT="0" distB="0" distL="0" distR="0">
            <wp:extent cx="5867400" cy="1933575"/>
            <wp:effectExtent l="19050" t="0" r="19050" b="0"/>
            <wp:docPr id="238" name="Объект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80DBB" w:rsidRPr="00DC7C2A" w:rsidRDefault="00280DBB" w:rsidP="00280DBB">
      <w:pPr>
        <w:ind w:firstLine="709"/>
        <w:jc w:val="center"/>
        <w:rPr>
          <w:b/>
        </w:rPr>
      </w:pPr>
      <w:r w:rsidRPr="00DC7C2A">
        <w:rPr>
          <w:b/>
        </w:rPr>
        <w:t xml:space="preserve">Рис. </w:t>
      </w:r>
      <w:r w:rsidR="00540D77">
        <w:rPr>
          <w:b/>
        </w:rPr>
        <w:t>1</w:t>
      </w:r>
      <w:r w:rsidR="001175D0">
        <w:rPr>
          <w:b/>
        </w:rPr>
        <w:t>7</w:t>
      </w:r>
      <w:r w:rsidRPr="00DC7C2A">
        <w:rPr>
          <w:b/>
        </w:rPr>
        <w:t>. Объем платных услуг, оказанных населению, тыс. руб.</w:t>
      </w:r>
    </w:p>
    <w:p w:rsidR="00280DBB" w:rsidRDefault="00280DBB" w:rsidP="00280DBB">
      <w:pPr>
        <w:ind w:firstLine="709"/>
        <w:jc w:val="both"/>
        <w:rPr>
          <w:sz w:val="28"/>
          <w:szCs w:val="28"/>
        </w:rPr>
      </w:pP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>В структуре платных услуг, оказанных населению, наибольший удельный вес занимают - коммунальные услуги (44,9%), услуги связи (26,3%), жилищные услуги (14,4%), образовательные услуги (1,7%), медицинские услуги (3,3%), социальных услуг (2,5%).</w:t>
      </w:r>
    </w:p>
    <w:p w:rsidR="00280DBB" w:rsidRPr="00280DBB" w:rsidRDefault="001175D0" w:rsidP="00280DBB">
      <w:pPr>
        <w:pStyle w:val="1"/>
        <w:numPr>
          <w:ilvl w:val="0"/>
          <w:numId w:val="0"/>
        </w:numPr>
        <w:rPr>
          <w:sz w:val="28"/>
          <w:szCs w:val="28"/>
        </w:rPr>
      </w:pPr>
      <w:bookmarkStart w:id="15" w:name="_Toc361390368"/>
      <w:bookmarkStart w:id="16" w:name="_Toc49869679"/>
      <w:r>
        <w:rPr>
          <w:sz w:val="28"/>
          <w:szCs w:val="28"/>
        </w:rPr>
        <w:lastRenderedPageBreak/>
        <w:t>10</w:t>
      </w:r>
      <w:r w:rsidR="00280DBB" w:rsidRPr="00280DBB">
        <w:rPr>
          <w:sz w:val="28"/>
          <w:szCs w:val="28"/>
        </w:rPr>
        <w:t>. Уровень жизни населения</w:t>
      </w:r>
      <w:bookmarkEnd w:id="15"/>
      <w:bookmarkEnd w:id="16"/>
    </w:p>
    <w:p w:rsidR="00280DBB" w:rsidRPr="003F6309" w:rsidRDefault="00280DBB" w:rsidP="00280DBB">
      <w:pPr>
        <w:ind w:firstLine="709"/>
        <w:jc w:val="both"/>
        <w:rPr>
          <w:sz w:val="28"/>
          <w:szCs w:val="28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В 2021 году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объем среднедушевых денежных доходов населения в месяц в Северо-Енисейском районе составил 75 066,7 руб.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, увеличившись по сравнению с 2020 годом в номинальном выражении на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2,6%,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а реально с учетом индекса потребительских цен снизился на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4,1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%.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Динамика среднедушевых денежных доходов населения Северо-Енисейского района за месяц </w:t>
      </w: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в номинальном </w:t>
      </w:r>
      <w:proofErr w:type="gramStart"/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>выражении</w:t>
      </w:r>
      <w:proofErr w:type="gramEnd"/>
      <w:r w:rsidRPr="00280DBB">
        <w:rPr>
          <w:rFonts w:ascii="Times New Roman CYR" w:hAnsi="Times New Roman CYR" w:cs="Times New Roman CYR"/>
          <w:sz w:val="26"/>
          <w:szCs w:val="26"/>
        </w:rPr>
        <w:t xml:space="preserve"> представлена на рисунке </w:t>
      </w:r>
      <w:r w:rsidR="001175D0">
        <w:rPr>
          <w:rFonts w:ascii="Times New Roman CYR" w:hAnsi="Times New Roman CYR" w:cs="Times New Roman CYR"/>
          <w:sz w:val="26"/>
          <w:szCs w:val="26"/>
        </w:rPr>
        <w:t>18</w:t>
      </w:r>
      <w:r w:rsidRPr="00280DBB">
        <w:rPr>
          <w:rFonts w:ascii="Times New Roman CYR" w:hAnsi="Times New Roman CYR" w:cs="Times New Roman CYR"/>
          <w:sz w:val="26"/>
          <w:szCs w:val="26"/>
        </w:rPr>
        <w:t>:</w:t>
      </w:r>
    </w:p>
    <w:p w:rsidR="00280DBB" w:rsidRPr="003F6309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3F6309" w:rsidRDefault="00280DBB" w:rsidP="00280D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F6309">
        <w:rPr>
          <w:rFonts w:ascii="Times New Roman CYR" w:hAnsi="Times New Roman CYR" w:cs="Times New Roman CYR"/>
          <w:noProof/>
          <w:sz w:val="28"/>
          <w:szCs w:val="28"/>
        </w:rPr>
        <w:drawing>
          <wp:inline distT="0" distB="0" distL="0" distR="0">
            <wp:extent cx="5810250" cy="2152650"/>
            <wp:effectExtent l="19050" t="0" r="19050" b="0"/>
            <wp:docPr id="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80DBB" w:rsidRPr="003F6309" w:rsidRDefault="00280DBB" w:rsidP="00280DBB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Cs/>
        </w:rPr>
      </w:pPr>
      <w:r w:rsidRPr="003F6309">
        <w:rPr>
          <w:rFonts w:ascii="Times New Roman CYR" w:hAnsi="Times New Roman CYR" w:cs="Times New Roman CYR"/>
          <w:b/>
          <w:iCs/>
        </w:rPr>
        <w:t xml:space="preserve">Рис </w:t>
      </w:r>
      <w:r w:rsidR="00540D77">
        <w:rPr>
          <w:rFonts w:ascii="Times New Roman CYR" w:hAnsi="Times New Roman CYR" w:cs="Times New Roman CYR"/>
          <w:b/>
          <w:iCs/>
        </w:rPr>
        <w:t>1</w:t>
      </w:r>
      <w:r w:rsidR="001175D0">
        <w:rPr>
          <w:rFonts w:ascii="Times New Roman CYR" w:hAnsi="Times New Roman CYR" w:cs="Times New Roman CYR"/>
          <w:b/>
          <w:iCs/>
        </w:rPr>
        <w:t>8</w:t>
      </w:r>
      <w:r w:rsidRPr="003F6309">
        <w:rPr>
          <w:rFonts w:ascii="Times New Roman CYR" w:hAnsi="Times New Roman CYR" w:cs="Times New Roman CYR"/>
          <w:b/>
          <w:iCs/>
        </w:rPr>
        <w:t>. Среднедушевой денежный доход населения (за месяц), руб.</w:t>
      </w:r>
    </w:p>
    <w:p w:rsidR="00540D77" w:rsidRDefault="00540D77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В соответствии с представленной динамикой среднедушевой денежный доход населения по оценке в 2022 году </w:t>
      </w: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>увеличится на 8,8% по отношению к 2021году и составит</w:t>
      </w:r>
      <w:proofErr w:type="gramEnd"/>
      <w:r w:rsidRPr="00280DBB">
        <w:rPr>
          <w:rFonts w:ascii="Times New Roman CYR" w:hAnsi="Times New Roman CYR" w:cs="Times New Roman CYR"/>
          <w:sz w:val="26"/>
          <w:szCs w:val="26"/>
        </w:rPr>
        <w:t xml:space="preserve"> 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86 375,1 руб</w:t>
      </w:r>
      <w:r w:rsidRPr="00280DBB">
        <w:rPr>
          <w:rFonts w:ascii="Times New Roman CYR" w:hAnsi="Times New Roman CYR" w:cs="Times New Roman CYR"/>
          <w:sz w:val="26"/>
          <w:szCs w:val="26"/>
        </w:rPr>
        <w:t>., а в прогнозируемом периоде: в 2023 году –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94 990,3 руб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., в 2024 году –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102 293,8 руб.,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в 2025 г. –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108 961,0 руб.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>В среднесрочной перспективе темп роста среднедушевых денежных доходов составит</w:t>
      </w: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>: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в номинальном </w:t>
      </w:r>
      <w:proofErr w:type="gramStart"/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>выражении</w:t>
      </w:r>
      <w:proofErr w:type="gramEnd"/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>: 2022 год – 115,1%, 2023 год – 110,0%, 2024 год – 107,7%, 2025 год – 106,50%;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 xml:space="preserve">в реальном </w:t>
      </w:r>
      <w:proofErr w:type="gramStart"/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>выражении</w:t>
      </w:r>
      <w:proofErr w:type="gramEnd"/>
      <w:r w:rsidRPr="00280DBB">
        <w:rPr>
          <w:rFonts w:ascii="Times New Roman CYR" w:hAnsi="Times New Roman CYR" w:cs="Times New Roman CYR"/>
          <w:color w:val="000000"/>
          <w:sz w:val="26"/>
          <w:szCs w:val="26"/>
        </w:rPr>
        <w:t>: 2022 год – 98,6%, 2023 год – 100,8%, 2024 год – 103,0%, 2025 год – 102,40%.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u w:val="single"/>
        </w:rPr>
      </w:pPr>
      <w:r w:rsidRPr="00280DBB">
        <w:rPr>
          <w:rFonts w:ascii="Times New Roman CYR" w:hAnsi="Times New Roman CYR" w:cs="Times New Roman CYR"/>
          <w:sz w:val="26"/>
          <w:szCs w:val="26"/>
          <w:u w:val="single"/>
        </w:rPr>
        <w:t>Заработная плата является важнейшим индикатором роста уровня жизни населения Северо-Енисейского района. Рост доходов граждан обеспечивает и рост благополучия жителей района.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Развитие экономики положительно отражается на уровне жизни населения. Поэтому, одним из основных безусловных приоритетов социально-экономического развития района является своевременная и полная выплата заработной платы, начисленная всем работникам предприятий и организаций района. Проводимая в </w:t>
      </w: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>районе</w:t>
      </w:r>
      <w:proofErr w:type="gramEnd"/>
      <w:r w:rsidRPr="00280DBB">
        <w:rPr>
          <w:rFonts w:ascii="Times New Roman CYR" w:hAnsi="Times New Roman CYR" w:cs="Times New Roman CYR"/>
          <w:sz w:val="26"/>
          <w:szCs w:val="26"/>
        </w:rPr>
        <w:t xml:space="preserve"> в течение 2021 года политика в области оплаты труда была направлена в первую очередь на повышение жизненного уровня работников производственной и бюджетной сфер района.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280DBB">
        <w:rPr>
          <w:rFonts w:ascii="Times New Roman CYR" w:hAnsi="Times New Roman CYR" w:cs="Times New Roman CYR"/>
          <w:b/>
          <w:bCs/>
          <w:sz w:val="26"/>
          <w:szCs w:val="26"/>
        </w:rPr>
        <w:t xml:space="preserve">Размер среднемесячной заработной платы всего по Северо-Енисейскому району в 2021 году составил – 107 238,9 руб., </w:t>
      </w:r>
      <w:r w:rsidRPr="00280DBB">
        <w:rPr>
          <w:rFonts w:ascii="Times New Roman CYR" w:hAnsi="Times New Roman CYR" w:cs="Times New Roman CYR"/>
          <w:sz w:val="26"/>
          <w:szCs w:val="26"/>
        </w:rPr>
        <w:t>что на 2,5% выше, чем в 2020 году (2020г. – 104 660,8 руб.).</w:t>
      </w:r>
    </w:p>
    <w:p w:rsidR="00E642C3" w:rsidRDefault="00E642C3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642C3" w:rsidRDefault="00E642C3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642C3" w:rsidRDefault="00E642C3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642C3" w:rsidRDefault="00E642C3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642C3" w:rsidRDefault="00E642C3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lastRenderedPageBreak/>
        <w:t xml:space="preserve">Динамика роста среднемесячной заработной платы всего по Северо-Енисейскому району представлена на рисунке </w:t>
      </w:r>
      <w:r w:rsidR="00540D77">
        <w:rPr>
          <w:rFonts w:ascii="Times New Roman CYR" w:hAnsi="Times New Roman CYR" w:cs="Times New Roman CYR"/>
          <w:sz w:val="26"/>
          <w:szCs w:val="26"/>
        </w:rPr>
        <w:t>1</w:t>
      </w:r>
      <w:r w:rsidR="001175D0">
        <w:rPr>
          <w:rFonts w:ascii="Times New Roman CYR" w:hAnsi="Times New Roman CYR" w:cs="Times New Roman CYR"/>
          <w:sz w:val="26"/>
          <w:szCs w:val="26"/>
        </w:rPr>
        <w:t>9</w:t>
      </w:r>
      <w:r w:rsidRPr="00280DBB">
        <w:rPr>
          <w:rFonts w:ascii="Times New Roman CYR" w:hAnsi="Times New Roman CYR" w:cs="Times New Roman CYR"/>
          <w:sz w:val="26"/>
          <w:szCs w:val="26"/>
        </w:rPr>
        <w:t>:</w:t>
      </w:r>
    </w:p>
    <w:p w:rsidR="00280DBB" w:rsidRPr="00AC6BFC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0DBB" w:rsidRPr="00AC6BFC" w:rsidRDefault="00280DBB" w:rsidP="00280D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AC6BFC">
        <w:rPr>
          <w:rFonts w:ascii="Times New Roman CYR" w:hAnsi="Times New Roman CYR" w:cs="Times New Roman CYR"/>
          <w:noProof/>
        </w:rPr>
        <w:drawing>
          <wp:inline distT="0" distB="0" distL="0" distR="0">
            <wp:extent cx="6160770" cy="1933575"/>
            <wp:effectExtent l="19050" t="0" r="11430" b="0"/>
            <wp:docPr id="9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80DBB" w:rsidRPr="00AC6BFC" w:rsidRDefault="00280DBB" w:rsidP="00280D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Cs/>
        </w:rPr>
      </w:pPr>
      <w:r w:rsidRPr="00AC6BFC">
        <w:rPr>
          <w:rFonts w:ascii="Times New Roman CYR" w:hAnsi="Times New Roman CYR" w:cs="Times New Roman CYR"/>
          <w:b/>
          <w:iCs/>
        </w:rPr>
        <w:t xml:space="preserve">Рис. </w:t>
      </w:r>
      <w:r w:rsidR="00540D77">
        <w:rPr>
          <w:rFonts w:ascii="Times New Roman CYR" w:hAnsi="Times New Roman CYR" w:cs="Times New Roman CYR"/>
          <w:b/>
          <w:iCs/>
        </w:rPr>
        <w:t>1</w:t>
      </w:r>
      <w:r w:rsidR="001175D0">
        <w:rPr>
          <w:rFonts w:ascii="Times New Roman CYR" w:hAnsi="Times New Roman CYR" w:cs="Times New Roman CYR"/>
          <w:b/>
          <w:iCs/>
        </w:rPr>
        <w:t>9</w:t>
      </w:r>
      <w:r w:rsidRPr="00AC6BFC">
        <w:rPr>
          <w:rFonts w:ascii="Times New Roman CYR" w:hAnsi="Times New Roman CYR" w:cs="Times New Roman CYR"/>
          <w:b/>
          <w:iCs/>
        </w:rPr>
        <w:t>. Среднемесячная заработная плата всего по Северо-Енисейскому району, руб.</w:t>
      </w:r>
    </w:p>
    <w:p w:rsidR="00280DBB" w:rsidRPr="000163EA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  <w:highlight w:val="yellow"/>
        </w:rPr>
      </w:pP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80DBB">
        <w:rPr>
          <w:rFonts w:ascii="Times New Roman CYR" w:hAnsi="Times New Roman CYR" w:cs="Times New Roman CYR"/>
          <w:sz w:val="26"/>
          <w:szCs w:val="26"/>
        </w:rPr>
        <w:t xml:space="preserve">По оценочным данным этот показатель в 2022 году составит </w:t>
      </w:r>
      <w:r w:rsidRPr="00280DBB">
        <w:rPr>
          <w:rFonts w:ascii="Times New Roman CYR" w:hAnsi="Times New Roman CYR" w:cs="Times New Roman CYR"/>
          <w:b/>
          <w:sz w:val="26"/>
          <w:szCs w:val="26"/>
        </w:rPr>
        <w:t>123 393,8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руб.</w:t>
      </w:r>
    </w:p>
    <w:p w:rsidR="00280DBB" w:rsidRPr="00280DBB" w:rsidRDefault="00280DBB" w:rsidP="00280DB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280DBB">
        <w:rPr>
          <w:rFonts w:ascii="Times New Roman CYR" w:hAnsi="Times New Roman CYR" w:cs="Times New Roman CYR"/>
          <w:sz w:val="26"/>
          <w:szCs w:val="26"/>
        </w:rPr>
        <w:t xml:space="preserve">В плановом периоде на 2023-2025 годы размер среднемесячной заработной платы будет с каждым годом увеличиваться и составит в 2023 году </w:t>
      </w:r>
      <w:r w:rsidR="00E642C3">
        <w:rPr>
          <w:rFonts w:ascii="Times New Roman CYR" w:hAnsi="Times New Roman CYR" w:cs="Times New Roman CYR"/>
          <w:sz w:val="26"/>
          <w:szCs w:val="26"/>
        </w:rPr>
        <w:t>135 701,4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руб., в 2024 году – 146</w:t>
      </w:r>
      <w:r w:rsidR="00E642C3">
        <w:rPr>
          <w:rFonts w:ascii="Times New Roman CYR" w:hAnsi="Times New Roman CYR" w:cs="Times New Roman CYR"/>
          <w:sz w:val="26"/>
          <w:szCs w:val="26"/>
        </w:rPr>
        <w:t> 135,0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руб., в 2025 году – </w:t>
      </w:r>
      <w:r w:rsidR="00E642C3">
        <w:rPr>
          <w:rFonts w:ascii="Times New Roman CYR" w:hAnsi="Times New Roman CYR" w:cs="Times New Roman CYR"/>
          <w:sz w:val="26"/>
          <w:szCs w:val="26"/>
        </w:rPr>
        <w:t>155 659,7</w:t>
      </w:r>
      <w:r w:rsidRPr="00280DBB">
        <w:rPr>
          <w:rFonts w:ascii="Times New Roman CYR" w:hAnsi="Times New Roman CYR" w:cs="Times New Roman CYR"/>
          <w:sz w:val="26"/>
          <w:szCs w:val="26"/>
        </w:rPr>
        <w:t xml:space="preserve"> руб. Повышение размера заработной платы и пенсий в среднесрочной перспективе обусловит рост номинальных денежных доходов населения района.</w:t>
      </w:r>
      <w:proofErr w:type="gramEnd"/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Общий фонд заработной платы, начисленный работникам списочного состава и внешним совместителям по полному кругу организаций в Северо-Енисейском районе за 2021 год, составил </w:t>
      </w:r>
      <w:r w:rsidRPr="00280DBB">
        <w:rPr>
          <w:b/>
          <w:sz w:val="26"/>
          <w:szCs w:val="26"/>
        </w:rPr>
        <w:t>20 </w:t>
      </w:r>
      <w:r w:rsidR="00E642C3">
        <w:rPr>
          <w:b/>
          <w:sz w:val="26"/>
          <w:szCs w:val="26"/>
        </w:rPr>
        <w:t>1</w:t>
      </w:r>
      <w:r w:rsidRPr="00280DBB">
        <w:rPr>
          <w:b/>
          <w:sz w:val="26"/>
          <w:szCs w:val="26"/>
        </w:rPr>
        <w:t>03</w:t>
      </w:r>
      <w:r w:rsidR="00E642C3">
        <w:rPr>
          <w:b/>
          <w:sz w:val="26"/>
          <w:szCs w:val="26"/>
        </w:rPr>
        <w:t> 437,20</w:t>
      </w:r>
      <w:r w:rsidRPr="00280DBB">
        <w:rPr>
          <w:b/>
          <w:sz w:val="26"/>
          <w:szCs w:val="26"/>
        </w:rPr>
        <w:t xml:space="preserve"> тыс. руб</w:t>
      </w:r>
      <w:r w:rsidRPr="00280DBB">
        <w:rPr>
          <w:sz w:val="26"/>
          <w:szCs w:val="26"/>
        </w:rPr>
        <w:t xml:space="preserve">., что на </w:t>
      </w:r>
      <w:r w:rsidRPr="00280DBB">
        <w:rPr>
          <w:b/>
          <w:sz w:val="26"/>
          <w:szCs w:val="26"/>
        </w:rPr>
        <w:t>9,0%</w:t>
      </w:r>
      <w:r w:rsidRPr="00280DBB">
        <w:rPr>
          <w:sz w:val="26"/>
          <w:szCs w:val="26"/>
        </w:rPr>
        <w:t xml:space="preserve"> больше, чем в 2019 году (2020 год – 18 355 422,20 тыс. руб.).</w:t>
      </w: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Динамика фонда заработной платы, начисленный работникам списочного состава и внешним совместителям в Северо-Енисейском </w:t>
      </w:r>
      <w:proofErr w:type="gramStart"/>
      <w:r w:rsidRPr="00280DBB">
        <w:rPr>
          <w:sz w:val="26"/>
          <w:szCs w:val="26"/>
        </w:rPr>
        <w:t>районе</w:t>
      </w:r>
      <w:proofErr w:type="gramEnd"/>
      <w:r w:rsidR="00E642C3">
        <w:rPr>
          <w:sz w:val="26"/>
          <w:szCs w:val="26"/>
        </w:rPr>
        <w:t xml:space="preserve"> по полному кругу </w:t>
      </w:r>
      <w:r w:rsidRPr="00280DBB">
        <w:rPr>
          <w:sz w:val="26"/>
          <w:szCs w:val="26"/>
        </w:rPr>
        <w:t xml:space="preserve">представлена на рис. </w:t>
      </w:r>
      <w:r w:rsidR="001175D0">
        <w:rPr>
          <w:sz w:val="26"/>
          <w:szCs w:val="26"/>
        </w:rPr>
        <w:t>20</w:t>
      </w:r>
      <w:r w:rsidRPr="00280DBB">
        <w:rPr>
          <w:sz w:val="26"/>
          <w:szCs w:val="26"/>
        </w:rPr>
        <w:t>.</w:t>
      </w:r>
    </w:p>
    <w:p w:rsidR="00280DBB" w:rsidRPr="00AC6BFC" w:rsidRDefault="00280DBB" w:rsidP="00280DBB">
      <w:pPr>
        <w:jc w:val="both"/>
      </w:pPr>
      <w:r w:rsidRPr="00AC6BFC">
        <w:rPr>
          <w:noProof/>
          <w:sz w:val="28"/>
          <w:szCs w:val="28"/>
        </w:rPr>
        <w:drawing>
          <wp:inline distT="0" distB="0" distL="0" distR="0">
            <wp:extent cx="5991225" cy="2181225"/>
            <wp:effectExtent l="19050" t="0" r="9525" b="0"/>
            <wp:docPr id="28" name="Объект 1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80DBB" w:rsidRPr="00AC6BFC" w:rsidRDefault="00280DBB" w:rsidP="00280DBB">
      <w:pPr>
        <w:jc w:val="center"/>
        <w:rPr>
          <w:b/>
        </w:rPr>
      </w:pPr>
      <w:r w:rsidRPr="00AC6BFC">
        <w:rPr>
          <w:b/>
        </w:rPr>
        <w:t xml:space="preserve">Рис </w:t>
      </w:r>
      <w:r w:rsidR="001175D0">
        <w:rPr>
          <w:b/>
        </w:rPr>
        <w:t>20</w:t>
      </w:r>
      <w:r w:rsidRPr="00AC6BFC">
        <w:rPr>
          <w:b/>
        </w:rPr>
        <w:t xml:space="preserve">. Фонд заработной платы, начисленный работникам списочного состава и внешним совместителям в Северо-Енисейском </w:t>
      </w:r>
      <w:proofErr w:type="gramStart"/>
      <w:r w:rsidRPr="00AC6BFC">
        <w:rPr>
          <w:b/>
        </w:rPr>
        <w:t>районе</w:t>
      </w:r>
      <w:proofErr w:type="gramEnd"/>
      <w:r w:rsidR="00E642C3">
        <w:rPr>
          <w:b/>
        </w:rPr>
        <w:t xml:space="preserve"> по полному кругу</w:t>
      </w:r>
      <w:r w:rsidRPr="00AC6BFC">
        <w:rPr>
          <w:b/>
        </w:rPr>
        <w:t>, тыс. руб.</w:t>
      </w:r>
    </w:p>
    <w:p w:rsidR="00E642C3" w:rsidRDefault="00E642C3" w:rsidP="00280DBB">
      <w:pPr>
        <w:ind w:firstLine="709"/>
        <w:jc w:val="both"/>
        <w:rPr>
          <w:sz w:val="26"/>
          <w:szCs w:val="26"/>
        </w:rPr>
      </w:pPr>
    </w:p>
    <w:p w:rsidR="00280DBB" w:rsidRPr="00280DBB" w:rsidRDefault="00280DBB" w:rsidP="00280DBB">
      <w:pPr>
        <w:ind w:firstLine="709"/>
        <w:jc w:val="both"/>
        <w:rPr>
          <w:sz w:val="26"/>
          <w:szCs w:val="26"/>
        </w:rPr>
      </w:pPr>
      <w:r w:rsidRPr="00280DBB">
        <w:rPr>
          <w:sz w:val="26"/>
          <w:szCs w:val="26"/>
        </w:rPr>
        <w:t xml:space="preserve">По оценке 2022 года фонд заработной платы </w:t>
      </w:r>
      <w:r w:rsidR="00E642C3">
        <w:rPr>
          <w:sz w:val="26"/>
          <w:szCs w:val="26"/>
        </w:rPr>
        <w:t xml:space="preserve">без субъектов малого предпринимательства </w:t>
      </w:r>
      <w:r w:rsidRPr="00280DBB">
        <w:rPr>
          <w:sz w:val="26"/>
          <w:szCs w:val="26"/>
        </w:rPr>
        <w:t>составит 23 176 427,35 тыс. руб., в 2023 году – 25 617 728,99 тыс. руб., в 2024 году – 27 726 980,05 руб., в 2025 году – 29 682 845,67 руб.</w:t>
      </w:r>
    </w:p>
    <w:p w:rsidR="007179EC" w:rsidRDefault="00280DBB" w:rsidP="00E642C3">
      <w:pPr>
        <w:ind w:firstLine="709"/>
        <w:jc w:val="both"/>
      </w:pPr>
      <w:r w:rsidRPr="00280DBB">
        <w:rPr>
          <w:sz w:val="26"/>
          <w:szCs w:val="26"/>
        </w:rPr>
        <w:t xml:space="preserve">На территории района созданы все условия для привлечения высококвалифицированных кадров, способных обеспечить предоставление качественных услуг населению. Ежегодно </w:t>
      </w:r>
      <w:proofErr w:type="gramStart"/>
      <w:r w:rsidRPr="00280DBB">
        <w:rPr>
          <w:sz w:val="26"/>
          <w:szCs w:val="26"/>
        </w:rPr>
        <w:t>строится новое жилье и предоставляется</w:t>
      </w:r>
      <w:proofErr w:type="gramEnd"/>
      <w:r w:rsidRPr="00280DBB">
        <w:rPr>
          <w:sz w:val="26"/>
          <w:szCs w:val="26"/>
        </w:rPr>
        <w:t xml:space="preserve"> специалистам, приехавшим в наш район, отсутствует очередь в детские сады и школы, достойная заработная плата, высокий уровень социальной обеспеченности граждан и пр.</w:t>
      </w:r>
    </w:p>
    <w:sectPr w:rsidR="007179EC" w:rsidSect="001175D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2C8"/>
    <w:multiLevelType w:val="multilevel"/>
    <w:tmpl w:val="86DAF586"/>
    <w:lvl w:ilvl="0">
      <w:start w:val="1"/>
      <w:numFmt w:val="decimal"/>
      <w:pStyle w:val="a"/>
      <w:lvlText w:val="%1."/>
      <w:lvlJc w:val="left"/>
      <w:pPr>
        <w:ind w:left="3763" w:hanging="360"/>
      </w:pPr>
      <w:rPr>
        <w:u w:val="single"/>
      </w:rPr>
    </w:lvl>
    <w:lvl w:ilvl="1">
      <w:start w:val="1"/>
      <w:numFmt w:val="decimal"/>
      <w:pStyle w:val="2"/>
      <w:lvlText w:val="%1.%2."/>
      <w:lvlJc w:val="left"/>
      <w:pPr>
        <w:ind w:left="270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3C5D5C"/>
    <w:multiLevelType w:val="multilevel"/>
    <w:tmpl w:val="174A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eastAsia="Calibri" w:hint="default"/>
        <w:b w:val="0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D975F4"/>
    <w:multiLevelType w:val="hybridMultilevel"/>
    <w:tmpl w:val="E5348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9B5928"/>
    <w:multiLevelType w:val="hybridMultilevel"/>
    <w:tmpl w:val="418AB25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5E0C37"/>
    <w:multiLevelType w:val="hybridMultilevel"/>
    <w:tmpl w:val="3ED6E2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E5B1A73"/>
    <w:multiLevelType w:val="hybridMultilevel"/>
    <w:tmpl w:val="AE48B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030221E"/>
    <w:multiLevelType w:val="hybridMultilevel"/>
    <w:tmpl w:val="39B2B556"/>
    <w:lvl w:ilvl="0" w:tplc="673A89E4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3457F3C"/>
    <w:multiLevelType w:val="hybridMultilevel"/>
    <w:tmpl w:val="DB588036"/>
    <w:lvl w:ilvl="0" w:tplc="6092314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D49"/>
    <w:rsid w:val="001175D0"/>
    <w:rsid w:val="00180609"/>
    <w:rsid w:val="001E7874"/>
    <w:rsid w:val="00280DBB"/>
    <w:rsid w:val="00400943"/>
    <w:rsid w:val="004F4D97"/>
    <w:rsid w:val="00540D77"/>
    <w:rsid w:val="00590246"/>
    <w:rsid w:val="00612C29"/>
    <w:rsid w:val="007179EC"/>
    <w:rsid w:val="007304AF"/>
    <w:rsid w:val="0094067F"/>
    <w:rsid w:val="00C26170"/>
    <w:rsid w:val="00CC5F7A"/>
    <w:rsid w:val="00E13D49"/>
    <w:rsid w:val="00E642C3"/>
    <w:rsid w:val="00EF6BF8"/>
    <w:rsid w:val="00F32BD0"/>
    <w:rsid w:val="00F55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3D49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uiPriority w:val="9"/>
    <w:qFormat/>
    <w:rsid w:val="00E13D49"/>
    <w:pPr>
      <w:ind w:left="0" w:firstLine="0"/>
      <w:jc w:val="center"/>
      <w:outlineLvl w:val="0"/>
    </w:pPr>
  </w:style>
  <w:style w:type="paragraph" w:styleId="2">
    <w:name w:val="heading 2"/>
    <w:basedOn w:val="a0"/>
    <w:next w:val="a0"/>
    <w:link w:val="20"/>
    <w:uiPriority w:val="9"/>
    <w:qFormat/>
    <w:rsid w:val="00E13D49"/>
    <w:pPr>
      <w:numPr>
        <w:ilvl w:val="1"/>
        <w:numId w:val="1"/>
      </w:numPr>
      <w:jc w:val="both"/>
      <w:outlineLvl w:val="1"/>
    </w:pPr>
    <w:rPr>
      <w:b/>
      <w:bCs/>
      <w:sz w:val="28"/>
      <w:szCs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13D49"/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3D49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a">
    <w:name w:val="СВОЙ"/>
    <w:basedOn w:val="a0"/>
    <w:link w:val="a4"/>
    <w:qFormat/>
    <w:rsid w:val="00E13D49"/>
    <w:pPr>
      <w:numPr>
        <w:numId w:val="1"/>
      </w:numPr>
      <w:ind w:left="2487"/>
      <w:jc w:val="both"/>
    </w:pPr>
    <w:rPr>
      <w:b/>
      <w:sz w:val="32"/>
      <w:szCs w:val="32"/>
      <w:u w:val="single"/>
    </w:rPr>
  </w:style>
  <w:style w:type="character" w:customStyle="1" w:styleId="a4">
    <w:name w:val="СВОЙ Знак"/>
    <w:link w:val="a"/>
    <w:rsid w:val="00E13D49"/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paragraph" w:styleId="a5">
    <w:name w:val="Body Text"/>
    <w:basedOn w:val="a0"/>
    <w:link w:val="a6"/>
    <w:rsid w:val="00E13D49"/>
    <w:pPr>
      <w:spacing w:after="120"/>
    </w:pPr>
  </w:style>
  <w:style w:type="character" w:customStyle="1" w:styleId="a6">
    <w:name w:val="Основной текст Знак"/>
    <w:basedOn w:val="a1"/>
    <w:link w:val="a5"/>
    <w:rsid w:val="00E13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E13D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E13D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0"/>
    <w:link w:val="aa"/>
    <w:uiPriority w:val="34"/>
    <w:qFormat/>
    <w:rsid w:val="00E13D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E13D49"/>
    <w:rPr>
      <w:rFonts w:ascii="Calibri" w:eastAsia="Times New Roman" w:hAnsi="Calibri" w:cs="Times New Roman"/>
      <w:lang w:eastAsia="ru-RU"/>
    </w:rPr>
  </w:style>
  <w:style w:type="paragraph" w:styleId="ab">
    <w:name w:val="No Spacing"/>
    <w:link w:val="ac"/>
    <w:uiPriority w:val="1"/>
    <w:qFormat/>
    <w:rsid w:val="00280DBB"/>
    <w:pPr>
      <w:spacing w:after="0"/>
      <w:ind w:firstLine="0"/>
      <w:jc w:val="left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280DB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5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1.xlsx"/><Relationship Id="rId1" Type="http://schemas.openxmlformats.org/officeDocument/2006/relationships/themeOverride" Target="../theme/themeOverride6.xm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9.xlsx"/><Relationship Id="rId1" Type="http://schemas.openxmlformats.org/officeDocument/2006/relationships/themeOverride" Target="../theme/themeOverride7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0.xlsx"/><Relationship Id="rId1" Type="http://schemas.openxmlformats.org/officeDocument/2006/relationships/themeOverride" Target="../theme/themeOverride8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2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8.xlsx"/><Relationship Id="rId1" Type="http://schemas.openxmlformats.org/officeDocument/2006/relationships/themeOverride" Target="../theme/themeOverride3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9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Численность постоянного населения (среднегодовая), чел.</a:t>
            </a:r>
          </a:p>
        </c:rich>
      </c:tx>
      <c:layout>
        <c:manualLayout>
          <c:xMode val="edge"/>
          <c:yMode val="edge"/>
          <c:x val="0.22474196463147028"/>
          <c:y val="6.921720093045243E-2"/>
        </c:manualLayout>
      </c:layout>
    </c:title>
    <c:plotArea>
      <c:layout>
        <c:manualLayout>
          <c:layoutTarget val="inner"/>
          <c:xMode val="edge"/>
          <c:yMode val="edge"/>
          <c:x val="0.1080767608966912"/>
          <c:y val="0.24467763804405968"/>
          <c:w val="0.8586443076868443"/>
          <c:h val="0.5107782152230973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постоянного населения (среднегодовая), человек</c:v>
                </c:pt>
              </c:strCache>
            </c:strRef>
          </c:tx>
          <c:dLbls>
            <c:dLbl>
              <c:idx val="0"/>
              <c:layout>
                <c:manualLayout>
                  <c:x val="-5.2312368827930757E-2"/>
                  <c:y val="-4.644183142317255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1844512093217411E-2"/>
                  <c:y val="-6.277792791852808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1951506164948062E-2"/>
                  <c:y val="-5.933538277713642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3972904979294222E-2"/>
                  <c:y val="-4.241486680738692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0037101422332822E-2"/>
                  <c:y val="-4.241486680738692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3972904979294222E-2"/>
                  <c:y val="-5.676946684734293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1.8202502844141089E-2"/>
                  <c:y val="2.9878618113912452E-2"/>
                </c:manualLayout>
              </c:layout>
              <c:dLblPos val="r"/>
              <c:showVal val="1"/>
            </c:dLbl>
            <c:txPr>
              <a:bodyPr/>
              <a:lstStyle/>
              <a:p>
                <a:pPr>
                  <a:defRPr sz="1000" b="1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2020 год </c:v>
                </c:pt>
                <c:pt idx="1">
                  <c:v>2021 год </c:v>
                </c:pt>
                <c:pt idx="2">
                  <c:v>2022 год оценка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10131</c:v>
                </c:pt>
                <c:pt idx="1">
                  <c:v>9892</c:v>
                </c:pt>
                <c:pt idx="2">
                  <c:v>9659</c:v>
                </c:pt>
                <c:pt idx="3">
                  <c:v>9647</c:v>
                </c:pt>
                <c:pt idx="4">
                  <c:v>9632</c:v>
                </c:pt>
                <c:pt idx="5">
                  <c:v>9616</c:v>
                </c:pt>
              </c:numCache>
            </c:numRef>
          </c:val>
        </c:ser>
        <c:marker val="1"/>
        <c:axId val="180860416"/>
        <c:axId val="181072640"/>
      </c:lineChart>
      <c:catAx>
        <c:axId val="1808604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81072640"/>
        <c:crosses val="autoZero"/>
        <c:auto val="1"/>
        <c:lblAlgn val="ctr"/>
        <c:lblOffset val="100"/>
      </c:catAx>
      <c:valAx>
        <c:axId val="181072640"/>
        <c:scaling>
          <c:orientation val="minMax"/>
        </c:scaling>
        <c:axPos val="l"/>
        <c:majorGridlines/>
        <c:numFmt formatCode="General" sourceLinked="1"/>
        <c:tickLblPos val="nextTo"/>
        <c:crossAx val="180860416"/>
        <c:crosses val="autoZero"/>
        <c:crossBetween val="between"/>
      </c:valAx>
    </c:plotArea>
    <c:plotVisOnly val="1"/>
    <c:dispBlanksAs val="gap"/>
  </c:chart>
  <c:spPr>
    <a:noFill/>
  </c:spPr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000"/>
              <a:t>Динамика объема инвестиций в основной капитал</a:t>
            </a:r>
            <a:r>
              <a:rPr lang="ru-RU" sz="1000" baseline="0"/>
              <a:t> за счет всех источнииков финансирования (без субъектов малого предпринимательства и параметров неформальной деятельности), тыс. руб.</a:t>
            </a:r>
            <a:endParaRPr lang="ru-RU" sz="1000"/>
          </a:p>
        </c:rich>
      </c:tx>
      <c:layout>
        <c:manualLayout>
          <c:xMode val="edge"/>
          <c:yMode val="edge"/>
          <c:x val="0.15977603824412367"/>
          <c:y val="1.6598367193051147E-2"/>
        </c:manualLayout>
      </c:layout>
    </c:title>
    <c:view3D>
      <c:depthPercent val="100"/>
      <c:rAngAx val="1"/>
    </c:view3D>
    <c:floor>
      <c:spPr>
        <a:gradFill>
          <a:gsLst>
            <a:gs pos="0">
              <a:srgbClr val="FFFFFF"/>
            </a:gs>
            <a:gs pos="7001">
              <a:srgbClr val="E6E6E6"/>
            </a:gs>
            <a:gs pos="32001">
              <a:srgbClr val="7D8496"/>
            </a:gs>
            <a:gs pos="47000">
              <a:srgbClr val="E6E6E6"/>
            </a:gs>
            <a:gs pos="85001">
              <a:srgbClr val="7D8496"/>
            </a:gs>
            <a:gs pos="100000">
              <a:srgbClr val="E6E6E6"/>
            </a:gs>
          </a:gsLst>
          <a:lin ang="5400000" scaled="0"/>
        </a:gradFill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0.13719661061943114"/>
          <c:y val="0.29034677483496396"/>
          <c:w val="0.84295247759609182"/>
          <c:h val="0.48746838463373898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00B0F0"/>
            </a:solidFill>
          </c:spPr>
          <c:dLbls>
            <c:dLbl>
              <c:idx val="0"/>
              <c:layout>
                <c:manualLayout>
                  <c:x val="1.0669098662830282E-2"/>
                  <c:y val="-0.17419788435536473"/>
                </c:manualLayout>
              </c:layout>
              <c:showVal val="1"/>
            </c:dLbl>
            <c:dLbl>
              <c:idx val="1"/>
              <c:layout>
                <c:manualLayout>
                  <c:x val="6.1961096624748996E-3"/>
                  <c:y val="-0.23230533683289595"/>
                </c:manualLayout>
              </c:layout>
              <c:showVal val="1"/>
            </c:dLbl>
            <c:dLbl>
              <c:idx val="2"/>
              <c:layout>
                <c:manualLayout>
                  <c:x val="9.4178195099185215E-3"/>
                  <c:y val="-0.22004772130756384"/>
                </c:manualLayout>
              </c:layout>
              <c:showVal val="1"/>
            </c:dLbl>
            <c:dLbl>
              <c:idx val="3"/>
              <c:layout>
                <c:manualLayout>
                  <c:x val="1.7708357417802387E-2"/>
                  <c:y val="-0.23394217768233522"/>
                </c:manualLayout>
              </c:layout>
              <c:showVal val="1"/>
            </c:dLbl>
            <c:dLbl>
              <c:idx val="4"/>
              <c:layout>
                <c:manualLayout>
                  <c:x val="2.6586513553668843E-2"/>
                  <c:y val="-0.23429730374612273"/>
                </c:manualLayout>
              </c:layout>
              <c:showVal val="1"/>
            </c:dLbl>
            <c:dLbl>
              <c:idx val="5"/>
              <c:layout>
                <c:manualLayout>
                  <c:x val="3.846219059485427E-2"/>
                  <c:y val="-0.23006999125109368"/>
                </c:manualLayout>
              </c:layout>
              <c:showVal val="1"/>
            </c:dLbl>
            <c:dLbl>
              <c:idx val="6"/>
              <c:layout>
                <c:manualLayout>
                  <c:x val="2.9925590314927739E-2"/>
                  <c:y val="-0.30733489412908976"/>
                </c:manualLayout>
              </c:layout>
              <c:showVal val="1"/>
            </c:dLbl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2020</c:v>
                </c:pt>
                <c:pt idx="1">
                  <c:v>2021</c:v>
                </c:pt>
                <c:pt idx="2">
                  <c:v>2022 оценка</c:v>
                </c:pt>
                <c:pt idx="3">
                  <c:v>2023 прогноз</c:v>
                </c:pt>
                <c:pt idx="4">
                  <c:v>2024  прогноз</c:v>
                </c:pt>
                <c:pt idx="5">
                  <c:v>2025 прогноз</c:v>
                </c:pt>
              </c:strCache>
            </c:strRef>
          </c:cat>
          <c:val>
            <c:numRef>
              <c:f>Лист1!$B$2:$B$7</c:f>
              <c:numCache>
                <c:formatCode>#,##0</c:formatCode>
                <c:ptCount val="6"/>
                <c:pt idx="0">
                  <c:v>25136014</c:v>
                </c:pt>
                <c:pt idx="1">
                  <c:v>26289297</c:v>
                </c:pt>
                <c:pt idx="2">
                  <c:v>29105008.010000005</c:v>
                </c:pt>
                <c:pt idx="3">
                  <c:v>31200568.309999999</c:v>
                </c:pt>
                <c:pt idx="4">
                  <c:v>32978999.530000001</c:v>
                </c:pt>
                <c:pt idx="5">
                  <c:v>34792845.400000006</c:v>
                </c:pt>
              </c:numCache>
            </c:numRef>
          </c:val>
        </c:ser>
        <c:shape val="cylinder"/>
        <c:axId val="288100352"/>
        <c:axId val="288101888"/>
        <c:axId val="0"/>
      </c:bar3DChart>
      <c:catAx>
        <c:axId val="288100352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88101888"/>
        <c:crosses val="autoZero"/>
        <c:auto val="1"/>
        <c:lblAlgn val="ctr"/>
        <c:lblOffset val="100"/>
      </c:catAx>
      <c:valAx>
        <c:axId val="288101888"/>
        <c:scaling>
          <c:orientation val="minMax"/>
        </c:scaling>
        <c:axPos val="l"/>
        <c:majorGridlines/>
        <c:numFmt formatCode="#,##0" sourceLinked="1"/>
        <c:tickLblPos val="nextTo"/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88100352"/>
        <c:crosses val="autoZero"/>
        <c:crossBetween val="between"/>
      </c:valAx>
      <c:spPr>
        <a:noFill/>
        <a:ln w="25437">
          <a:noFill/>
        </a:ln>
      </c:spPr>
    </c:plotArea>
    <c:plotVisOnly val="1"/>
    <c:dispBlanksAs val="gap"/>
  </c:chart>
  <c:spPr>
    <a:gradFill flip="none" rotWithShape="1"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18900000" scaled="1"/>
      <a:tileRect/>
    </a:gradFill>
  </c:spPr>
  <c:txPr>
    <a:bodyPr/>
    <a:lstStyle/>
    <a:p>
      <a:pPr>
        <a:defRPr sz="1803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/>
              <a:t>Объем инвестиций в основной капитал (за исключением бюджетных средств) в расчете на 1 жителя (рублей)</a:t>
            </a:r>
          </a:p>
        </c:rich>
      </c:tx>
      <c:layout>
        <c:manualLayout>
          <c:xMode val="edge"/>
          <c:yMode val="edge"/>
          <c:x val="0.16649903549001019"/>
          <c:y val="3.2169526363834938E-2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504293153066478"/>
          <c:y val="0.22742019511711983"/>
          <c:w val="0.83503065941738863"/>
          <c:h val="0.5528157664502463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субъектов малого и среднего предпринимательства, единиц на 10000 человек населения</c:v>
                </c:pt>
              </c:strCache>
            </c:strRef>
          </c:tx>
          <c:dLbls>
            <c:dLbl>
              <c:idx val="0"/>
              <c:layout>
                <c:manualLayout>
                  <c:x val="8.0220049959750187E-3"/>
                  <c:y val="-1.4356947903671015E-2"/>
                </c:manualLayout>
              </c:layout>
              <c:showVal val="1"/>
            </c:dLbl>
            <c:dLbl>
              <c:idx val="1"/>
              <c:layout>
                <c:manualLayout>
                  <c:x val="5.2698210113527877E-3"/>
                  <c:y val="-1.6511770878841241E-2"/>
                </c:manualLayout>
              </c:layout>
              <c:showVal val="1"/>
            </c:dLbl>
            <c:dLbl>
              <c:idx val="2"/>
              <c:layout>
                <c:manualLayout>
                  <c:x val="4.3453566720032394E-3"/>
                  <c:y val="-2.2291369223216725E-2"/>
                </c:manualLayout>
              </c:layout>
              <c:showVal val="1"/>
            </c:dLbl>
            <c:dLbl>
              <c:idx val="3"/>
              <c:layout>
                <c:manualLayout>
                  <c:x val="6.0374008828572084E-3"/>
                  <c:y val="-2.4524165544450999E-2"/>
                </c:manualLayout>
              </c:layout>
              <c:showVal val="1"/>
            </c:dLbl>
            <c:dLbl>
              <c:idx val="4"/>
              <c:layout>
                <c:manualLayout>
                  <c:x val="1.0387903864441838E-2"/>
                  <c:y val="-2.0012971161684632E-2"/>
                </c:manualLayout>
              </c:layout>
              <c:showVal val="1"/>
            </c:dLbl>
            <c:dLbl>
              <c:idx val="5"/>
              <c:layout>
                <c:manualLayout>
                  <c:x val="1.3648168958645821E-2"/>
                  <c:y val="-2.5422125739198578E-2"/>
                </c:manualLayout>
              </c:layout>
              <c:showVal val="1"/>
            </c:dLbl>
            <c:dLbl>
              <c:idx val="6"/>
              <c:layout>
                <c:manualLayout>
                  <c:x val="2.2289766970618206E-2"/>
                  <c:y val="-3.9051603905160416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2020</c:v>
                </c:pt>
                <c:pt idx="1">
                  <c:v>2021 отчет</c:v>
                </c:pt>
                <c:pt idx="2">
                  <c:v>2022 оценка</c:v>
                </c:pt>
                <c:pt idx="3">
                  <c:v>2023 прогноз</c:v>
                </c:pt>
                <c:pt idx="4">
                  <c:v>2024 прогноз</c:v>
                </c:pt>
                <c:pt idx="5">
                  <c:v>2025 прогноз</c:v>
                </c:pt>
              </c:strCache>
            </c:strRef>
          </c:cat>
          <c:val>
            <c:numRef>
              <c:f>Лист1!$B$2:$B$7</c:f>
              <c:numCache>
                <c:formatCode>#,##0.00</c:formatCode>
                <c:ptCount val="6"/>
                <c:pt idx="0">
                  <c:v>2459627.8699999987</c:v>
                </c:pt>
                <c:pt idx="1">
                  <c:v>2622180.15</c:v>
                </c:pt>
                <c:pt idx="2">
                  <c:v>2972894.07</c:v>
                </c:pt>
                <c:pt idx="3">
                  <c:v>3188446.9099999997</c:v>
                </c:pt>
                <c:pt idx="4">
                  <c:v>3375433.66</c:v>
                </c:pt>
                <c:pt idx="5">
                  <c:v>3567004.8299999987</c:v>
                </c:pt>
              </c:numCache>
            </c:numRef>
          </c:val>
        </c:ser>
        <c:gapDepth val="180"/>
        <c:shape val="cylinder"/>
        <c:axId val="288192384"/>
        <c:axId val="288193920"/>
        <c:axId val="0"/>
      </c:bar3DChart>
      <c:catAx>
        <c:axId val="28819238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193920"/>
        <c:crosses val="autoZero"/>
        <c:auto val="1"/>
        <c:lblAlgn val="ctr"/>
        <c:lblOffset val="100"/>
        <c:tickMarkSkip val="1"/>
      </c:catAx>
      <c:valAx>
        <c:axId val="288193920"/>
        <c:scaling>
          <c:orientation val="minMax"/>
        </c:scaling>
        <c:axPos val="l"/>
        <c:majorGridlines/>
        <c:minorGridlines>
          <c:spPr>
            <a:ln w="0"/>
          </c:spPr>
        </c:minorGridlines>
        <c:numFmt formatCode="#,##0.00" sourceLinked="1"/>
        <c:tickLblPos val="nextTo"/>
        <c:spPr>
          <a:ln>
            <a:noFill/>
          </a:ln>
        </c:spPr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192384"/>
        <c:crosses val="autoZero"/>
        <c:crossBetween val="between"/>
      </c:valAx>
      <c:spPr>
        <a:noFill/>
        <a:ln w="44774">
          <a:noFill/>
        </a:ln>
      </c:spPr>
    </c:plotArea>
    <c:plotVisOnly val="1"/>
    <c:dispBlanksAs val="gap"/>
  </c:chart>
  <c:spPr>
    <a:solidFill>
      <a:srgbClr val="EEECE1"/>
    </a:solidFill>
  </c:spPr>
  <c:externalData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/>
              <a:t>Общая площадь</a:t>
            </a:r>
            <a:r>
              <a:rPr lang="ru-RU" sz="1000" baseline="0"/>
              <a:t> жилых помещений</a:t>
            </a:r>
            <a:r>
              <a:rPr lang="ru-RU" sz="1000"/>
              <a:t>,</a:t>
            </a:r>
            <a:r>
              <a:rPr lang="ru-RU" sz="1000" baseline="0"/>
              <a:t>  приходящаяся в среднем на 1 жителя, кв.м./чел</a:t>
            </a:r>
            <a:endParaRPr lang="ru-RU" sz="1000"/>
          </a:p>
        </c:rich>
      </c:tx>
      <c:layout>
        <c:manualLayout>
          <c:xMode val="edge"/>
          <c:yMode val="edge"/>
          <c:x val="0.1543064760789794"/>
          <c:y val="0"/>
        </c:manualLayout>
      </c:layout>
    </c:title>
    <c:plotArea>
      <c:layout>
        <c:manualLayout>
          <c:layoutTarget val="inner"/>
          <c:xMode val="edge"/>
          <c:yMode val="edge"/>
          <c:x val="7.5954197272103591E-2"/>
          <c:y val="0.22677434551450301"/>
          <c:w val="0.89806658610119749"/>
          <c:h val="0.5817030082778115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numFmt formatCode="#,##0.00" sourceLinked="0"/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 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23.37</c:v>
                </c:pt>
                <c:pt idx="1">
                  <c:v>23.330000000000005</c:v>
                </c:pt>
                <c:pt idx="2" formatCode="0.00">
                  <c:v>24.330000000000005</c:v>
                </c:pt>
                <c:pt idx="3" formatCode="#,##0.00">
                  <c:v>24.4</c:v>
                </c:pt>
                <c:pt idx="4" formatCode="#,##0.00">
                  <c:v>25.150000000000031</c:v>
                </c:pt>
                <c:pt idx="5" formatCode="#,##0.00">
                  <c:v>25.150000000000031</c:v>
                </c:pt>
                <c:pt idx="6">
                  <c:v>25.150000000000031</c:v>
                </c:pt>
              </c:numCache>
            </c:numRef>
          </c:val>
        </c:ser>
        <c:axId val="288439296"/>
        <c:axId val="288445184"/>
      </c:barChart>
      <c:catAx>
        <c:axId val="288439296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445184"/>
        <c:crosses val="autoZero"/>
        <c:auto val="1"/>
        <c:lblAlgn val="ctr"/>
        <c:lblOffset val="100"/>
      </c:catAx>
      <c:valAx>
        <c:axId val="28844518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439296"/>
        <c:crosses val="autoZero"/>
        <c:crossBetween val="between"/>
      </c:valAx>
    </c:plotArea>
    <c:plotVisOnly val="1"/>
  </c:chart>
  <c:spPr>
    <a:solidFill>
      <a:schemeClr val="accent5">
        <a:lumMod val="40000"/>
        <a:lumOff val="60000"/>
      </a:schemeClr>
    </a:solidFill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Динамика ввода в эксплуатацию</a:t>
            </a:r>
            <a:r>
              <a:rPr lang="ru-RU" sz="1000" baseline="0">
                <a:latin typeface="Times New Roman" pitchFamily="18" charset="0"/>
                <a:cs typeface="Times New Roman" pitchFamily="18" charset="0"/>
              </a:rPr>
              <a:t> нового жилья и сноса ветхого и аварийного жилья, тыс. кв. м.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93070528895014"/>
          <c:y val="2.5240269537685441E-2"/>
        </c:manualLayout>
      </c:layout>
    </c:title>
    <c:view3D>
      <c:rAngAx val="1"/>
    </c:view3D>
    <c:sideWall>
      <c:spPr>
        <a:solidFill>
          <a:srgbClr val="FFFF99"/>
        </a:solidFill>
      </c:spPr>
    </c:sideWall>
    <c:backWall>
      <c:spPr>
        <a:solidFill>
          <a:srgbClr val="FFFF99"/>
        </a:solidFill>
      </c:spPr>
    </c:backWall>
    <c:plotArea>
      <c:layout>
        <c:manualLayout>
          <c:layoutTarget val="inner"/>
          <c:xMode val="edge"/>
          <c:yMode val="edge"/>
          <c:x val="5.5099296587926519E-2"/>
          <c:y val="0.22340303773503728"/>
          <c:w val="0.76191496062992137"/>
          <c:h val="0.6124642151689803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Ввод в эксплуатацию нового жилья, тыс.кв.м.</c:v>
                </c:pt>
              </c:strCache>
            </c:strRef>
          </c:tx>
          <c:dLbls>
            <c:dLbl>
              <c:idx val="0"/>
              <c:layout>
                <c:manualLayout>
                  <c:x val="1.4698162729658812E-2"/>
                  <c:y val="-2.3474178403756766E-2"/>
                </c:manualLayout>
              </c:layout>
              <c:showVal val="1"/>
            </c:dLbl>
            <c:dLbl>
              <c:idx val="1"/>
              <c:layout>
                <c:manualLayout>
                  <c:x val="1.0498687664041956E-2"/>
                  <c:y val="-1.4084507042253521E-2"/>
                </c:manualLayout>
              </c:layout>
              <c:showVal val="1"/>
            </c:dLbl>
            <c:dLbl>
              <c:idx val="2"/>
              <c:layout>
                <c:manualLayout>
                  <c:x val="1.2598425196850407E-2"/>
                  <c:y val="-4.6948356807511738E-3"/>
                </c:manualLayout>
              </c:layout>
              <c:showVal val="1"/>
            </c:dLbl>
            <c:dLbl>
              <c:idx val="3"/>
              <c:layout>
                <c:manualLayout>
                  <c:x val="8.3989501312335194E-3"/>
                  <c:y val="-1.8779342723004598E-2"/>
                </c:manualLayout>
              </c:layout>
              <c:showVal val="1"/>
            </c:dLbl>
            <c:dLbl>
              <c:idx val="4"/>
              <c:layout>
                <c:manualLayout>
                  <c:x val="6.1068702290076413E-3"/>
                  <c:y val="-1.7372421281216448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 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2.0499999999999998</c:v>
                </c:pt>
                <c:pt idx="1">
                  <c:v>4.49</c:v>
                </c:pt>
                <c:pt idx="2">
                  <c:v>4.29</c:v>
                </c:pt>
                <c:pt idx="3">
                  <c:v>0.73000000000000065</c:v>
                </c:pt>
                <c:pt idx="4">
                  <c:v>1.76</c:v>
                </c:pt>
                <c:pt idx="5" formatCode="0.00">
                  <c:v>0</c:v>
                </c:pt>
                <c:pt idx="6" formatCode="0.0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Снос ветхого и аварийного жилья, тыс.кв.м.</c:v>
                </c:pt>
              </c:strCache>
            </c:strRef>
          </c:tx>
          <c:dLbls>
            <c:dLbl>
              <c:idx val="0"/>
              <c:layout>
                <c:manualLayout>
                  <c:x val="1.8897637795275601E-2"/>
                  <c:y val="-2.8169014084507043E-2"/>
                </c:manualLayout>
              </c:layout>
              <c:showVal val="1"/>
            </c:dLbl>
            <c:dLbl>
              <c:idx val="1"/>
              <c:layout>
                <c:manualLayout>
                  <c:x val="2.0997375328084256E-2"/>
                  <c:y val="-1.4084507042253521E-2"/>
                </c:manualLayout>
              </c:layout>
              <c:showVal val="1"/>
            </c:dLbl>
            <c:dLbl>
              <c:idx val="2"/>
              <c:layout>
                <c:manualLayout>
                  <c:x val="1.8897637795275601E-2"/>
                  <c:y val="-2.3474178403756766E-2"/>
                </c:manualLayout>
              </c:layout>
              <c:showVal val="1"/>
            </c:dLbl>
            <c:dLbl>
              <c:idx val="3"/>
              <c:layout>
                <c:manualLayout>
                  <c:x val="2.0997375328084256E-2"/>
                  <c:y val="-1.8779342723004598E-2"/>
                </c:manualLayout>
              </c:layout>
              <c:showVal val="1"/>
            </c:dLbl>
            <c:dLbl>
              <c:idx val="4"/>
              <c:layout>
                <c:manualLayout>
                  <c:x val="2.6463104325699802E-2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</c:v>
                </c:pt>
                <c:pt idx="6">
                  <c:v>2021 год </c:v>
                </c:pt>
              </c:strCache>
            </c:strRef>
          </c:cat>
          <c:val>
            <c:numRef>
              <c:f>Лист1!$C$2:$C$8</c:f>
              <c:numCache>
                <c:formatCode>0.00</c:formatCode>
                <c:ptCount val="7"/>
                <c:pt idx="0">
                  <c:v>1.5</c:v>
                </c:pt>
                <c:pt idx="1">
                  <c:v>1.7</c:v>
                </c:pt>
                <c:pt idx="2">
                  <c:v>1.2</c:v>
                </c:pt>
                <c:pt idx="3">
                  <c:v>0.8</c:v>
                </c:pt>
                <c:pt idx="4" formatCode="General">
                  <c:v>1.34</c:v>
                </c:pt>
                <c:pt idx="5">
                  <c:v>1.04</c:v>
                </c:pt>
                <c:pt idx="6" formatCode="General">
                  <c:v>1.51</c:v>
                </c:pt>
              </c:numCache>
            </c:numRef>
          </c:val>
        </c:ser>
        <c:shape val="box"/>
        <c:axId val="288491392"/>
        <c:axId val="288492928"/>
        <c:axId val="0"/>
      </c:bar3DChart>
      <c:catAx>
        <c:axId val="28849139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492928"/>
        <c:crosses val="autoZero"/>
        <c:auto val="1"/>
        <c:lblAlgn val="ctr"/>
        <c:lblOffset val="100"/>
      </c:catAx>
      <c:valAx>
        <c:axId val="28849292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491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093868474773956"/>
          <c:y val="0.29487751531059853"/>
          <c:w val="0.16359835228930175"/>
          <c:h val="0.66180534134264157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gradFill flip="none" rotWithShape="1"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18900000" scaled="1"/>
      <a:tileRect/>
    </a:gradFill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/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Динамика измененния качественного</a:t>
            </a:r>
            <a:r>
              <a:rPr lang="ru-RU" sz="1000" baseline="0">
                <a:latin typeface="Times New Roman" pitchFamily="18" charset="0"/>
                <a:cs typeface="Times New Roman" pitchFamily="18" charset="0"/>
              </a:rPr>
              <a:t> и количественного муниципального жилого фонда района (по общей площади), тыс. кв.м.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486865360463268"/>
          <c:y val="2.3692811812328071E-2"/>
        </c:manualLayout>
      </c:layout>
    </c:title>
    <c:plotArea>
      <c:layout>
        <c:manualLayout>
          <c:layoutTarget val="inner"/>
          <c:xMode val="edge"/>
          <c:yMode val="edge"/>
          <c:x val="7.715412201550062E-2"/>
          <c:y val="0.20321192918614256"/>
          <c:w val="0.89216727516209959"/>
          <c:h val="0.3945212404005055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площадь жилищного фонда муниципальной формы собственности тыс. кв. м.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0.12745098039215691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0.11053181762268965"/>
                </c:manualLayout>
              </c:layout>
              <c:showVal val="1"/>
            </c:dLbl>
            <c:dLbl>
              <c:idx val="2"/>
              <c:layout>
                <c:manualLayout>
                  <c:x val="2.0140403472571002E-3"/>
                  <c:y val="0.11053181762268965"/>
                </c:manualLayout>
              </c:layout>
              <c:showVal val="1"/>
            </c:dLbl>
            <c:dLbl>
              <c:idx val="3"/>
              <c:layout>
                <c:manualLayout>
                  <c:x val="2.1203939658597064E-3"/>
                  <c:y val="0.1054986919823916"/>
                </c:manualLayout>
              </c:layout>
              <c:showVal val="1"/>
            </c:dLbl>
            <c:dLbl>
              <c:idx val="4"/>
              <c:layout>
                <c:manualLayout>
                  <c:x val="-2.0140403472571002E-3"/>
                  <c:y val="0.10905616238158441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9.0235674087573894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0.10256410256410316"/>
                </c:manualLayout>
              </c:layout>
              <c:showVal val="1"/>
            </c:dLbl>
            <c:spPr>
              <a:solidFill>
                <a:srgbClr val="4F81BD">
                  <a:lumMod val="20000"/>
                  <a:lumOff val="80000"/>
                  <a:alpha val="99000"/>
                </a:srgbClr>
              </a:solidFill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93.4</c:v>
                </c:pt>
                <c:pt idx="1">
                  <c:v>90.1</c:v>
                </c:pt>
                <c:pt idx="2">
                  <c:v>90.2</c:v>
                </c:pt>
                <c:pt idx="3">
                  <c:v>91.2</c:v>
                </c:pt>
                <c:pt idx="4">
                  <c:v>90.2</c:v>
                </c:pt>
                <c:pt idx="5">
                  <c:v>86.98</c:v>
                </c:pt>
                <c:pt idx="6" formatCode="0.00">
                  <c:v>87.242000000000004</c:v>
                </c:pt>
                <c:pt idx="7">
                  <c:v>80.239999999999995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Общая площадь ветхого и аварийного жилищного фонда муниципальной формы собственности тыс. кв. м.</c:v>
                </c:pt>
              </c:strCache>
            </c:strRef>
          </c:tx>
          <c:dLbls>
            <c:dLbl>
              <c:idx val="0"/>
              <c:layout>
                <c:manualLayout>
                  <c:x val="6.3611818975789613E-3"/>
                  <c:y val="0"/>
                </c:manualLayout>
              </c:layout>
              <c:showVal val="1"/>
            </c:dLbl>
            <c:spPr>
              <a:solidFill>
                <a:schemeClr val="accent2">
                  <a:lumMod val="20000"/>
                  <a:lumOff val="80000"/>
                </a:schemeClr>
              </a:solidFill>
            </c:spPr>
            <c:txPr>
              <a:bodyPr/>
              <a:lstStyle/>
              <a:p>
                <a:pPr>
                  <a:defRPr sz="1200" b="1" i="0" baseline="0">
                    <a:latin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17.399999999999999</c:v>
                </c:pt>
                <c:pt idx="1">
                  <c:v>2.1</c:v>
                </c:pt>
                <c:pt idx="2">
                  <c:v>1.8</c:v>
                </c:pt>
                <c:pt idx="3">
                  <c:v>1.3</c:v>
                </c:pt>
                <c:pt idx="4">
                  <c:v>1.7</c:v>
                </c:pt>
                <c:pt idx="5">
                  <c:v>1.8</c:v>
                </c:pt>
                <c:pt idx="6">
                  <c:v>1.7</c:v>
                </c:pt>
                <c:pt idx="7">
                  <c:v>1.9000000000000001</c:v>
                </c:pt>
              </c:numCache>
            </c:numRef>
          </c:val>
        </c:ser>
        <c:axId val="288699136"/>
        <c:axId val="288700672"/>
      </c:barChart>
      <c:catAx>
        <c:axId val="28869913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700672"/>
        <c:crosses val="autoZero"/>
        <c:auto val="1"/>
        <c:lblAlgn val="ctr"/>
        <c:lblOffset val="100"/>
      </c:catAx>
      <c:valAx>
        <c:axId val="288700672"/>
        <c:scaling>
          <c:orientation val="minMax"/>
          <c:max val="100"/>
          <c:min val="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699136"/>
        <c:crosses val="autoZero"/>
        <c:crossBetween val="between"/>
        <c:majorUnit val="20"/>
      </c:valAx>
      <c:spPr>
        <a:ln>
          <a:solidFill>
            <a:schemeClr val="accent2">
              <a:lumMod val="20000"/>
              <a:lumOff val="80000"/>
            </a:schemeClr>
          </a:solidFill>
        </a:ln>
      </c:spPr>
    </c:plotArea>
    <c:legend>
      <c:legendPos val="b"/>
      <c:layout>
        <c:manualLayout>
          <c:xMode val="edge"/>
          <c:yMode val="edge"/>
          <c:x val="2.5046597829395785E-2"/>
          <c:y val="0.73159498488983699"/>
          <c:w val="0.95963322879639645"/>
          <c:h val="0.24139076240967888"/>
        </c:manualLayout>
      </c:layout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solidFill>
      <a:schemeClr val="accent3">
        <a:lumMod val="40000"/>
        <a:lumOff val="60000"/>
      </a:schemeClr>
    </a:solidFill>
    <a:ln>
      <a:solidFill>
        <a:schemeClr val="tx1"/>
      </a:solidFill>
      <a:miter lim="800000"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Динамика оборота розничной торговли, млн.руб.</a:t>
            </a:r>
          </a:p>
        </c:rich>
      </c:tx>
      <c:layout>
        <c:manualLayout>
          <c:xMode val="edge"/>
          <c:yMode val="edge"/>
          <c:x val="0.2610671479788893"/>
          <c:y val="3.0923382509291646E-2"/>
        </c:manualLayout>
      </c:layout>
    </c:title>
    <c:view3D>
      <c:depthPercent val="100"/>
      <c:rAngAx val="1"/>
    </c:view3D>
    <c:backWall>
      <c:spPr>
        <a:noFill/>
      </c:spPr>
    </c:backWall>
    <c:plotArea>
      <c:layout>
        <c:manualLayout>
          <c:layoutTarget val="inner"/>
          <c:xMode val="edge"/>
          <c:yMode val="edge"/>
          <c:x val="0.10364416883122772"/>
          <c:y val="0.1589147286821706"/>
          <c:w val="0.87102480065639476"/>
          <c:h val="0.60511627906976739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розничной торговли, тыс.руб.</c:v>
                </c:pt>
              </c:strCache>
            </c:strRef>
          </c:tx>
          <c:dLbls>
            <c:dLbl>
              <c:idx val="0"/>
              <c:layout>
                <c:manualLayout>
                  <c:x val="8.9434675587831344E-3"/>
                  <c:y val="-0.21574375877433932"/>
                </c:manualLayout>
              </c:layout>
              <c:tx>
                <c:rich>
                  <a:bodyPr/>
                  <a:lstStyle/>
                  <a:p>
                    <a:r>
                      <a:rPr lang="ru-RU" sz="1000" b="1"/>
                      <a:t>1</a:t>
                    </a:r>
                    <a:r>
                      <a:rPr lang="ru-RU" sz="1000" b="1" baseline="0"/>
                      <a:t> 573,9</a:t>
                    </a:r>
                    <a:endParaRPr lang="en-US" sz="1000"/>
                  </a:p>
                </c:rich>
              </c:tx>
            </c:dLbl>
            <c:dLbl>
              <c:idx val="1"/>
              <c:layout>
                <c:manualLayout>
                  <c:x val="1.2771952728706838E-2"/>
                  <c:y val="-0.21386864432643596"/>
                </c:manualLayout>
              </c:layout>
              <c:showVal val="1"/>
            </c:dLbl>
            <c:dLbl>
              <c:idx val="2"/>
              <c:layout>
                <c:manualLayout>
                  <c:x val="1.6876051115372243E-2"/>
                  <c:y val="-0.22560275895745588"/>
                </c:manualLayout>
              </c:layout>
              <c:showVal val="1"/>
            </c:dLbl>
            <c:dLbl>
              <c:idx val="3"/>
              <c:layout>
                <c:manualLayout>
                  <c:x val="1.2799695374865706E-2"/>
                  <c:y val="-0.25103338826832688"/>
                </c:manualLayout>
              </c:layout>
              <c:showVal val="1"/>
            </c:dLbl>
            <c:dLbl>
              <c:idx val="4"/>
              <c:layout>
                <c:manualLayout>
                  <c:x val="1.1561974442313971E-2"/>
                  <c:y val="-0.25191784166514075"/>
                </c:manualLayout>
              </c:layout>
              <c:showVal val="1"/>
            </c:dLbl>
            <c:dLbl>
              <c:idx val="5"/>
              <c:layout>
                <c:manualLayout>
                  <c:x val="1.3888888888889811E-2"/>
                  <c:y val="-0.32936507936511433"/>
                </c:manualLayout>
              </c:layout>
              <c:tx>
                <c:rich>
                  <a:bodyPr/>
                  <a:lstStyle/>
                  <a:p>
                    <a:r>
                      <a:rPr lang="en-US" sz="1000" b="1">
                        <a:latin typeface="Times New Roman" pitchFamily="18" charset="0"/>
                        <a:cs typeface="Times New Roman" pitchFamily="18" charset="0"/>
                      </a:rPr>
                      <a:t>1</a:t>
                    </a:r>
                    <a:r>
                      <a:rPr lang="en-US"/>
                      <a:t>757056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</c:dLbl>
            <c:txPr>
              <a:bodyPr/>
              <a:lstStyle/>
              <a:p>
                <a:pPr>
                  <a:defRPr sz="1000"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2021 отчет</c:v>
                </c:pt>
                <c:pt idx="1">
                  <c:v>2022 оценка</c:v>
                </c:pt>
                <c:pt idx="2">
                  <c:v>2023 прогноз</c:v>
                </c:pt>
                <c:pt idx="3">
                  <c:v>2024 прогноз</c:v>
                </c:pt>
                <c:pt idx="4">
                  <c:v>2025 прогноз</c:v>
                </c:pt>
              </c:strCache>
            </c:strRef>
          </c:cat>
          <c:val>
            <c:numRef>
              <c:f>Лист1!$B$2:$B$6</c:f>
              <c:numCache>
                <c:formatCode>#,##0.0</c:formatCode>
                <c:ptCount val="5"/>
                <c:pt idx="0">
                  <c:v>1702.1699999999998</c:v>
                </c:pt>
                <c:pt idx="1">
                  <c:v>1929.1599999999999</c:v>
                </c:pt>
                <c:pt idx="2">
                  <c:v>2138.9499999999998</c:v>
                </c:pt>
                <c:pt idx="3">
                  <c:v>2324.56</c:v>
                </c:pt>
                <c:pt idx="4">
                  <c:v>2502.16</c:v>
                </c:pt>
              </c:numCache>
            </c:numRef>
          </c:val>
        </c:ser>
        <c:shape val="cone"/>
        <c:axId val="288778880"/>
        <c:axId val="288780672"/>
        <c:axId val="0"/>
      </c:bar3DChart>
      <c:catAx>
        <c:axId val="28877888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288780672"/>
        <c:crosses val="autoZero"/>
        <c:auto val="1"/>
        <c:lblAlgn val="ctr"/>
        <c:lblOffset val="100"/>
      </c:catAx>
      <c:valAx>
        <c:axId val="288780672"/>
        <c:scaling>
          <c:orientation val="minMax"/>
        </c:scaling>
        <c:axPos val="l"/>
        <c:majorGridlines/>
        <c:numFmt formatCode="#,##0.0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288778880"/>
        <c:crosses val="autoZero"/>
        <c:crossBetween val="between"/>
      </c:valAx>
      <c:spPr>
        <a:noFill/>
        <a:ln w="25414">
          <a:noFill/>
        </a:ln>
      </c:spPr>
    </c:plotArea>
    <c:plotVisOnly val="1"/>
    <c:dispBlanksAs val="gap"/>
  </c:chart>
  <c:spPr>
    <a:noFill/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/>
              <a:t>Динамика оборота общественного питания,  млн. руб.</a:t>
            </a:r>
          </a:p>
        </c:rich>
      </c:tx>
      <c:spPr>
        <a:noFill/>
      </c:spPr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891184780246417"/>
          <c:y val="0.19758910965144905"/>
          <c:w val="0.87047244094488185"/>
          <c:h val="0.53232045476180767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общественного питания, тыс. руб</c:v>
                </c:pt>
              </c:strCache>
            </c:strRef>
          </c:tx>
          <c:dLbls>
            <c:dLbl>
              <c:idx val="0"/>
              <c:layout>
                <c:manualLayout>
                  <c:x val="6.5361017770867811E-3"/>
                  <c:y val="-0.22282529752274119"/>
                </c:manualLayout>
              </c:layout>
              <c:showVal val="1"/>
            </c:dLbl>
            <c:dLbl>
              <c:idx val="1"/>
              <c:layout>
                <c:manualLayout>
                  <c:x val="1.0686928465152049E-2"/>
                  <c:y val="-0.23521231078991842"/>
                </c:manualLayout>
              </c:layout>
              <c:showVal val="1"/>
            </c:dLbl>
            <c:dLbl>
              <c:idx val="2"/>
              <c:layout>
                <c:manualLayout>
                  <c:x val="8.2881120751625778E-3"/>
                  <c:y val="-0.20629585685350976"/>
                </c:manualLayout>
              </c:layout>
              <c:showVal val="1"/>
            </c:dLbl>
            <c:dLbl>
              <c:idx val="3"/>
              <c:layout>
                <c:manualLayout>
                  <c:x val="1.1573967266830501E-2"/>
                  <c:y val="-0.22527211495823291"/>
                </c:manualLayout>
              </c:layout>
              <c:showVal val="1"/>
            </c:dLbl>
            <c:dLbl>
              <c:idx val="4"/>
              <c:layout>
                <c:manualLayout>
                  <c:x val="4.6296203420432324E-3"/>
                  <c:y val="-0.2163515861887127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0.32936507936511455"/>
                </c:manualLayout>
              </c:layout>
              <c:showVal val="1"/>
            </c:dLbl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2021 отчет</c:v>
                </c:pt>
                <c:pt idx="1">
                  <c:v>2022 оценка</c:v>
                </c:pt>
                <c:pt idx="2">
                  <c:v>2023 прогноз</c:v>
                </c:pt>
                <c:pt idx="3">
                  <c:v>2024 прогноз</c:v>
                </c:pt>
                <c:pt idx="4">
                  <c:v>2025 прогноз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2191.73</c:v>
                </c:pt>
                <c:pt idx="1">
                  <c:v>2396.08</c:v>
                </c:pt>
                <c:pt idx="2">
                  <c:v>2703.4700000000012</c:v>
                </c:pt>
                <c:pt idx="3">
                  <c:v>2909.8300000000022</c:v>
                </c:pt>
                <c:pt idx="4">
                  <c:v>3104.9500000000012</c:v>
                </c:pt>
              </c:numCache>
            </c:numRef>
          </c:val>
        </c:ser>
        <c:shape val="cone"/>
        <c:axId val="288805248"/>
        <c:axId val="288806784"/>
        <c:axId val="0"/>
      </c:bar3DChart>
      <c:catAx>
        <c:axId val="28880524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806784"/>
        <c:crosses val="autoZero"/>
        <c:auto val="1"/>
        <c:lblAlgn val="ctr"/>
        <c:lblOffset val="100"/>
      </c:catAx>
      <c:valAx>
        <c:axId val="288806784"/>
        <c:scaling>
          <c:orientation val="minMax"/>
        </c:scaling>
        <c:axPos val="l"/>
        <c:majorGridlines/>
        <c:numFmt formatCode="#,##0.00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805248"/>
        <c:crosses val="autoZero"/>
        <c:crossBetween val="between"/>
      </c:valAx>
      <c:spPr>
        <a:noFill/>
        <a:ln w="25422">
          <a:noFill/>
        </a:ln>
      </c:spPr>
    </c:plotArea>
    <c:plotVisOnly val="1"/>
    <c:dispBlanksAs val="gap"/>
  </c:chart>
  <c:spPr>
    <a:noFill/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100"/>
              <a:t>Объем платных услуг, оказанных населению, тыс.руб</a:t>
            </a:r>
            <a:r>
              <a:rPr lang="ru-RU"/>
              <a:t>.</a:t>
            </a:r>
          </a:p>
        </c:rich>
      </c:tx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3027030712070081"/>
          <c:y val="0.24108089937033741"/>
          <c:w val="0.84780423724691034"/>
          <c:h val="0.55267866847040659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платных услуг, оказанных населению, тыс.руб.</c:v>
                </c:pt>
              </c:strCache>
            </c:strRef>
          </c:tx>
          <c:dLbls>
            <c:dLbl>
              <c:idx val="0"/>
              <c:layout>
                <c:manualLayout>
                  <c:x val="1.3027235231959641E-2"/>
                  <c:y val="-0.28151584500213334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9.6412380270648017E-3"/>
                  <c:y val="-0.28110727538368085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1.282424924157209E-2"/>
                  <c:y val="-0.28977308870873875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1.6160991239731495E-2"/>
                  <c:y val="-0.28451753875593133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4"/>
              <c:layout>
                <c:manualLayout>
                  <c:x val="2.4007396802672411E-2"/>
                  <c:y val="-0.28820759474031266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5"/>
              <c:layout>
                <c:manualLayout>
                  <c:x val="7.5273199705398986E-3"/>
                  <c:y val="-0.40272154031172175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6"/>
              <c:layout>
                <c:manualLayout>
                  <c:x val="1.7939007374925254E-2"/>
                  <c:y val="-0.42647058449417341"/>
                </c:manualLayout>
              </c:layout>
              <c:spPr/>
              <c:txPr>
                <a:bodyPr/>
                <a:lstStyle/>
                <a:p>
                  <a:pPr>
                    <a:defRPr sz="10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txPr>
              <a:bodyPr/>
              <a:lstStyle/>
              <a:p>
                <a:pPr>
                  <a:defRPr sz="100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2021 отчет</c:v>
                </c:pt>
                <c:pt idx="1">
                  <c:v>2022 оценка</c:v>
                </c:pt>
                <c:pt idx="2">
                  <c:v>2023 прогноз</c:v>
                </c:pt>
                <c:pt idx="3">
                  <c:v>2024 прогноз</c:v>
                </c:pt>
                <c:pt idx="4">
                  <c:v>2025 прогноз</c:v>
                </c:pt>
              </c:strCache>
            </c:strRef>
          </c:cat>
          <c:val>
            <c:numRef>
              <c:f>Лист1!$B$2:$B$6</c:f>
              <c:numCache>
                <c:formatCode>#,##0.00</c:formatCode>
                <c:ptCount val="5"/>
                <c:pt idx="0">
                  <c:v>374502.61</c:v>
                </c:pt>
                <c:pt idx="1">
                  <c:v>383379.08</c:v>
                </c:pt>
                <c:pt idx="2">
                  <c:v>416775.23000000021</c:v>
                </c:pt>
                <c:pt idx="3">
                  <c:v>448176.74</c:v>
                </c:pt>
                <c:pt idx="4">
                  <c:v>479180.49000000022</c:v>
                </c:pt>
              </c:numCache>
            </c:numRef>
          </c:val>
        </c:ser>
        <c:gapDepth val="70"/>
        <c:shape val="cylinder"/>
        <c:axId val="288883456"/>
        <c:axId val="288884992"/>
        <c:axId val="0"/>
      </c:bar3DChart>
      <c:catAx>
        <c:axId val="28888345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884992"/>
        <c:crosses val="autoZero"/>
        <c:auto val="1"/>
        <c:lblAlgn val="ctr"/>
        <c:lblOffset val="100"/>
      </c:catAx>
      <c:valAx>
        <c:axId val="288884992"/>
        <c:scaling>
          <c:orientation val="minMax"/>
        </c:scaling>
        <c:axPos val="l"/>
        <c:majorGridlines/>
        <c:numFmt formatCode="#,##0.00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8834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chemeClr val="bg1"/>
    </a:solidFill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Среднедушевой денежный доход (за месяц), рублей</a:t>
            </a:r>
          </a:p>
        </c:rich>
      </c:tx>
      <c:layout>
        <c:manualLayout>
          <c:xMode val="edge"/>
          <c:yMode val="edge"/>
          <c:x val="0.25750664773460702"/>
          <c:y val="5.6824455766558576E-2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0930596790155329"/>
          <c:y val="0.29031835726416566"/>
          <c:w val="0.91415567507313489"/>
          <c:h val="0.5239394781534662"/>
        </c:manualLayout>
      </c:layout>
      <c:bar3DChart>
        <c:barDir val="col"/>
        <c:grouping val="clustered"/>
        <c:ser>
          <c:idx val="2"/>
          <c:order val="0"/>
          <c:tx>
            <c:strRef>
              <c:f>Лист1!$C$1</c:f>
              <c:strCache>
                <c:ptCount val="1"/>
              </c:strCache>
            </c:strRef>
          </c:tx>
          <c:dLbls>
            <c:dLbl>
              <c:idx val="0"/>
              <c:layout>
                <c:manualLayout>
                  <c:x val="2.3703670522712602E-2"/>
                  <c:y val="-2.8086454571201739E-2"/>
                </c:manualLayout>
              </c:layout>
              <c:showVal val="1"/>
            </c:dLbl>
            <c:dLbl>
              <c:idx val="1"/>
              <c:layout>
                <c:manualLayout>
                  <c:x val="1.5099594441565663E-2"/>
                  <c:y val="-2.2493975193235812E-2"/>
                </c:manualLayout>
              </c:layout>
              <c:showVal val="1"/>
            </c:dLbl>
            <c:dLbl>
              <c:idx val="2"/>
              <c:layout>
                <c:manualLayout>
                  <c:x val="1.4966399156237561E-2"/>
                  <c:y val="-2.2317431569748875E-2"/>
                </c:manualLayout>
              </c:layout>
              <c:showVal val="1"/>
            </c:dLbl>
            <c:dLbl>
              <c:idx val="3"/>
              <c:layout>
                <c:manualLayout>
                  <c:x val="6.4739695690346679E-3"/>
                  <c:y val="-1.8481527163690541E-2"/>
                </c:manualLayout>
              </c:layout>
              <c:showVal val="1"/>
            </c:dLbl>
            <c:dLbl>
              <c:idx val="4"/>
              <c:layout>
                <c:manualLayout>
                  <c:x val="1.0780545298985849E-2"/>
                  <c:y val="-1.5498642010454216E-2"/>
                </c:manualLayout>
              </c:layout>
              <c:showVal val="1"/>
            </c:dLbl>
            <c:dLbl>
              <c:idx val="5"/>
              <c:layout>
                <c:manualLayout>
                  <c:x val="1.0322785401150381E-2"/>
                  <c:y val="-7.3636889793313584E-3"/>
                </c:manualLayout>
              </c:layout>
              <c:showVal val="1"/>
            </c:dLbl>
            <c:dLbl>
              <c:idx val="6"/>
              <c:layout>
                <c:manualLayout>
                  <c:x val="1.4023037531894843E-2"/>
                  <c:y val="-1.6489988986115627E-2"/>
                </c:manualLayout>
              </c:layout>
              <c:showVal val="1"/>
            </c:dLbl>
            <c:numFmt formatCode="#,##0.0" sourceLinked="0"/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Лист1!$B$2:$B$8</c:f>
              <c:numCache>
                <c:formatCode>#,##0.00</c:formatCode>
                <c:ptCount val="7"/>
                <c:pt idx="0">
                  <c:v>63392.6</c:v>
                </c:pt>
                <c:pt idx="1">
                  <c:v>73157.899999999994</c:v>
                </c:pt>
                <c:pt idx="2">
                  <c:v>75066.7</c:v>
                </c:pt>
                <c:pt idx="3">
                  <c:v>86375.1</c:v>
                </c:pt>
                <c:pt idx="4">
                  <c:v>94990.3</c:v>
                </c:pt>
                <c:pt idx="5">
                  <c:v>102293.8</c:v>
                </c:pt>
                <c:pt idx="6">
                  <c:v>108961</c:v>
                </c:pt>
              </c:numCache>
            </c:numRef>
          </c:val>
        </c:ser>
        <c:gapWidth val="167"/>
        <c:gapDepth val="102"/>
        <c:shape val="cylinder"/>
        <c:axId val="288913664"/>
        <c:axId val="288915456"/>
        <c:axId val="0"/>
      </c:bar3DChart>
      <c:catAx>
        <c:axId val="2889136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915456"/>
        <c:crosses val="autoZero"/>
        <c:auto val="1"/>
        <c:lblAlgn val="ctr"/>
        <c:lblOffset val="100"/>
        <c:tickMarkSkip val="2"/>
      </c:catAx>
      <c:valAx>
        <c:axId val="288915456"/>
        <c:scaling>
          <c:orientation val="minMax"/>
          <c:max val="90000"/>
          <c:min val="0"/>
        </c:scaling>
        <c:axPos val="l"/>
        <c:majorGridlines/>
        <c:numFmt formatCode="#,##0.00" sourceLinked="0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913664"/>
        <c:crosses val="autoZero"/>
        <c:crossBetween val="between"/>
        <c:majorUnit val="15000"/>
        <c:minorUnit val="2000"/>
      </c:valAx>
      <c:spPr>
        <a:noFill/>
        <a:ln w="44735">
          <a:noFill/>
        </a:ln>
      </c:spPr>
    </c:plotArea>
    <c:plotVisOnly val="1"/>
    <c:dispBlanksAs val="gap"/>
  </c:chart>
  <c:spPr>
    <a:noFill/>
  </c:spPr>
  <c:txPr>
    <a:bodyPr/>
    <a:lstStyle/>
    <a:p>
      <a:pPr>
        <a:defRPr>
          <a:solidFill>
            <a:schemeClr val="tx1"/>
          </a:solidFill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Среднемесячная заработная плата всего по </a:t>
            </a:r>
          </a:p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Северо-Енисейскому району, руб.</a:t>
            </a:r>
          </a:p>
        </c:rich>
      </c:tx>
      <c:layout>
        <c:manualLayout>
          <c:xMode val="edge"/>
          <c:yMode val="edge"/>
          <c:x val="0.28458669977319384"/>
          <c:y val="4.5086472697249538E-2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313017690970446"/>
          <c:y val="0.2785473244415872"/>
          <c:w val="0.86464968152871857"/>
          <c:h val="0.59426244133276418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заработная плата всего по Северо-Енисейскому району, руб.</c:v>
                </c:pt>
              </c:strCache>
            </c:strRef>
          </c:tx>
          <c:spPr>
            <a:solidFill>
              <a:srgbClr val="EEECE1"/>
            </a:solidFill>
          </c:spPr>
          <c:dLbls>
            <c:dLbl>
              <c:idx val="0"/>
              <c:layout>
                <c:manualLayout>
                  <c:x val="6.3339283244560904E-3"/>
                  <c:y val="1.3842285050664741E-2"/>
                </c:manualLayout>
              </c:layout>
              <c:showVal val="1"/>
            </c:dLbl>
            <c:dLbl>
              <c:idx val="1"/>
              <c:layout>
                <c:manualLayout>
                  <c:x val="6.2263039753155834E-3"/>
                  <c:y val="-2.8517390561418592E-2"/>
                </c:manualLayout>
              </c:layout>
              <c:showVal val="1"/>
            </c:dLbl>
            <c:dLbl>
              <c:idx val="2"/>
              <c:layout>
                <c:manualLayout>
                  <c:x val="1.2412025616867864E-2"/>
                  <c:y val="-0.10676546596361559"/>
                </c:manualLayout>
              </c:layout>
              <c:numFmt formatCode="#,##0.0" sourceLinked="0"/>
              <c:spPr>
                <a:solidFill>
                  <a:srgbClr val="C0504D">
                    <a:lumMod val="20000"/>
                    <a:lumOff val="80000"/>
                  </a:srgbClr>
                </a:solidFill>
              </c:spPr>
              <c:txPr>
                <a:bodyPr/>
                <a:lstStyle/>
                <a:p>
                  <a:pPr>
                    <a:defRPr sz="1000" b="1">
                      <a:solidFill>
                        <a:schemeClr val="tx1"/>
                      </a:solidFill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1.2433940077099824E-2"/>
                  <c:y val="-0.14727274926773803"/>
                </c:manualLayout>
              </c:layout>
              <c:showVal val="1"/>
            </c:dLbl>
            <c:dLbl>
              <c:idx val="4"/>
              <c:layout>
                <c:manualLayout>
                  <c:x val="1.0336158080202381E-2"/>
                  <c:y val="-4.5642568428883958E-2"/>
                </c:manualLayout>
              </c:layout>
              <c:showVal val="1"/>
            </c:dLbl>
            <c:dLbl>
              <c:idx val="5"/>
              <c:layout>
                <c:manualLayout>
                  <c:x val="1.2434102406434994E-2"/>
                  <c:y val="-0.16977364522075217"/>
                </c:manualLayout>
              </c:layout>
              <c:showVal val="1"/>
            </c:dLbl>
            <c:dLbl>
              <c:idx val="6"/>
              <c:layout>
                <c:manualLayout>
                  <c:x val="1.2369495331083665E-2"/>
                  <c:y val="-7.65726054616086E-2"/>
                </c:manualLayout>
              </c:layout>
              <c:showVal val="1"/>
            </c:dLbl>
            <c:numFmt formatCode="#,##0.0" sourceLinked="0"/>
            <c:spPr>
              <a:solidFill>
                <a:srgbClr val="C0504D">
                  <a:lumMod val="20000"/>
                  <a:lumOff val="80000"/>
                </a:srgbClr>
              </a:solidFill>
            </c:spPr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  <c:pt idx="3">
                  <c:v>2022 год</c:v>
                </c:pt>
                <c:pt idx="4">
                  <c:v>2023 год</c:v>
                </c:pt>
                <c:pt idx="5">
                  <c:v>2024 год</c:v>
                </c:pt>
                <c:pt idx="6">
                  <c:v>2025 год</c:v>
                </c:pt>
              </c:strCache>
            </c:strRef>
          </c:cat>
          <c:val>
            <c:numRef>
              <c:f>Лист1!$B$2:$B$8</c:f>
              <c:numCache>
                <c:formatCode>#,##0.0</c:formatCode>
                <c:ptCount val="7"/>
                <c:pt idx="0">
                  <c:v>91076.4</c:v>
                </c:pt>
                <c:pt idx="1">
                  <c:v>104660.86</c:v>
                </c:pt>
                <c:pt idx="2">
                  <c:v>107238.9</c:v>
                </c:pt>
                <c:pt idx="3">
                  <c:v>123393.8</c:v>
                </c:pt>
                <c:pt idx="4">
                  <c:v>135701.4</c:v>
                </c:pt>
                <c:pt idx="5">
                  <c:v>146135</c:v>
                </c:pt>
                <c:pt idx="6">
                  <c:v>155659.70000000001</c:v>
                </c:pt>
              </c:numCache>
            </c:numRef>
          </c:val>
        </c:ser>
        <c:shape val="cylinder"/>
        <c:axId val="294175104"/>
        <c:axId val="294176640"/>
        <c:axId val="0"/>
      </c:bar3DChart>
      <c:catAx>
        <c:axId val="2941751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176640"/>
        <c:crosses val="autoZero"/>
        <c:auto val="1"/>
        <c:lblAlgn val="ctr"/>
        <c:lblOffset val="100"/>
      </c:catAx>
      <c:valAx>
        <c:axId val="294176640"/>
        <c:scaling>
          <c:orientation val="minMax"/>
          <c:max val="130000"/>
          <c:min val="50000"/>
        </c:scaling>
        <c:axPos val="l"/>
        <c:majorGridlines/>
        <c:numFmt formatCode="#,##0.0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175104"/>
        <c:crosses val="autoZero"/>
        <c:crossBetween val="between"/>
        <c:majorUnit val="10000"/>
        <c:minorUnit val="10000"/>
      </c:valAx>
      <c:spPr>
        <a:noFill/>
        <a:ln w="44831">
          <a:noFill/>
        </a:ln>
      </c:spPr>
    </c:plotArea>
    <c:plotVisOnly val="1"/>
    <c:dispBlanksAs val="gap"/>
  </c:chart>
  <c:spPr>
    <a:solidFill>
      <a:sysClr val="window" lastClr="FFFFFF"/>
    </a:solid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Динамика количества родившихся и умерших, чел.</a:t>
            </a:r>
          </a:p>
        </c:rich>
      </c:tx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5.2107245175588762E-2"/>
          <c:y val="0.21272112590864412"/>
          <c:w val="0.93509538357584165"/>
          <c:h val="0.535950680583532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родившихся, чел.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 </c:v>
                </c:pt>
                <c:pt idx="4">
                  <c:v>2020 год </c:v>
                </c:pt>
                <c:pt idx="5">
                  <c:v>2021 год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112</c:v>
                </c:pt>
                <c:pt idx="1">
                  <c:v>124</c:v>
                </c:pt>
                <c:pt idx="2">
                  <c:v>109</c:v>
                </c:pt>
                <c:pt idx="3">
                  <c:v>123</c:v>
                </c:pt>
                <c:pt idx="4">
                  <c:v>97</c:v>
                </c:pt>
                <c:pt idx="5">
                  <c:v>89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умерших, чел.</c:v>
                </c:pt>
              </c:strCache>
            </c:strRef>
          </c:tx>
          <c:dLbls>
            <c:dLbl>
              <c:idx val="0"/>
              <c:layout>
                <c:manualLayout>
                  <c:x val="1.248179737882255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6642396505096697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2481797378822551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0401497815685463E-2"/>
                  <c:y val="-6.2305295950155779E-3"/>
                </c:manualLayout>
              </c:layout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 </c:v>
                </c:pt>
                <c:pt idx="4">
                  <c:v>2020 год </c:v>
                </c:pt>
                <c:pt idx="5">
                  <c:v>2021 год 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96</c:v>
                </c:pt>
                <c:pt idx="1">
                  <c:v>105</c:v>
                </c:pt>
                <c:pt idx="2">
                  <c:v>103</c:v>
                </c:pt>
                <c:pt idx="3">
                  <c:v>98</c:v>
                </c:pt>
                <c:pt idx="4">
                  <c:v>115</c:v>
                </c:pt>
                <c:pt idx="5">
                  <c:v>137</c:v>
                </c:pt>
              </c:numCache>
            </c:numRef>
          </c:val>
        </c:ser>
        <c:dLbls>
          <c:showVal val="1"/>
        </c:dLbls>
        <c:shape val="cylinder"/>
        <c:axId val="182534144"/>
        <c:axId val="182575872"/>
        <c:axId val="0"/>
      </c:bar3DChart>
      <c:catAx>
        <c:axId val="182534144"/>
        <c:scaling>
          <c:orientation val="minMax"/>
        </c:scaling>
        <c:axPos val="b"/>
        <c:numFmt formatCode="General" sourceLinked="1"/>
        <c:majorTickMark val="none"/>
        <c:tickLblPos val="nextTo"/>
        <c:crossAx val="182575872"/>
        <c:crosses val="autoZero"/>
        <c:auto val="1"/>
        <c:lblAlgn val="ctr"/>
        <c:lblOffset val="100"/>
      </c:catAx>
      <c:valAx>
        <c:axId val="182575872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82534144"/>
        <c:crosses val="autoZero"/>
        <c:crossBetween val="between"/>
      </c:valAx>
      <c:spPr>
        <a:noFill/>
        <a:ln w="25411">
          <a:noFill/>
        </a:ln>
      </c:spPr>
    </c:plotArea>
    <c:legend>
      <c:legendPos val="b"/>
      <c:layout>
        <c:manualLayout>
          <c:xMode val="edge"/>
          <c:yMode val="edge"/>
          <c:x val="4.7386275592189213E-2"/>
          <c:y val="0.82592321308673666"/>
          <c:w val="0.90699353302160002"/>
          <c:h val="8.1156621646999702E-2"/>
        </c:manualLayout>
      </c:layout>
    </c:legend>
    <c:plotVisOnly val="1"/>
    <c:dispBlanksAs val="gap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/>
            </a:pPr>
            <a:r>
              <a:rPr lang="ru-RU" sz="1000" b="1"/>
              <a:t>Фонд заработной платы, начисленный работникам списочного состава организаций и внешним совместителям в Северо-Енисейском районе по полному кругу , тыс. руб.</a:t>
            </a:r>
          </a:p>
        </c:rich>
      </c:tx>
      <c:layout>
        <c:manualLayout>
          <c:xMode val="edge"/>
          <c:yMode val="edge"/>
          <c:x val="0.13797065217613091"/>
          <c:y val="1.0625643328214443E-5"/>
        </c:manualLayout>
      </c:layout>
    </c:title>
    <c:plotArea>
      <c:layout>
        <c:manualLayout>
          <c:layoutTarget val="inner"/>
          <c:xMode val="edge"/>
          <c:yMode val="edge"/>
          <c:x val="0.1468681279704902"/>
          <c:y val="0.24359047073138848"/>
          <c:w val="0.83114285376996544"/>
          <c:h val="0.5474998379090996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>
              <a:gradFill>
                <a:gsLst>
                  <a:gs pos="0">
                    <a:srgbClr val="4F81BD">
                      <a:tint val="66000"/>
                      <a:satMod val="160000"/>
                    </a:srgbClr>
                  </a:gs>
                  <a:gs pos="50000">
                    <a:srgbClr val="4F81BD">
                      <a:tint val="44500"/>
                      <a:satMod val="160000"/>
                    </a:srgbClr>
                  </a:gs>
                  <a:gs pos="100000">
                    <a:srgbClr val="4F81BD">
                      <a:tint val="23500"/>
                      <a:satMod val="160000"/>
                    </a:srgbClr>
                  </a:gs>
                </a:gsLst>
                <a:lin ang="5400000" scaled="0"/>
              </a:gradFill>
            </a:ln>
          </c:spPr>
          <c:dLbls>
            <c:dLbl>
              <c:idx val="0"/>
              <c:layout>
                <c:manualLayout>
                  <c:x val="5.9799985528719134E-3"/>
                  <c:y val="6.759543871101711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9172914404876072E-3"/>
                  <c:y val="8.5898790474846567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0"/>
                  <c:y val="4.415091029069083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7.9733314038293417E-3"/>
                  <c:y val="4.158168422440703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0"/>
                  <c:y val="1.3559955601158081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3.9866657019144956E-3"/>
                  <c:y val="-8.1485061707742227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1000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dLblPos val="inEnd"/>
            <c:showVal val="1"/>
          </c:dLbls>
          <c:cat>
            <c:strRef>
              <c:f>Лист1!$A$2:$A$7</c:f>
              <c:strCache>
                <c:ptCount val="6"/>
                <c:pt idx="0">
                  <c:v>2020</c:v>
                </c:pt>
                <c:pt idx="1">
                  <c:v>2021 отчет</c:v>
                </c:pt>
                <c:pt idx="2">
                  <c:v>2022 оценка</c:v>
                </c:pt>
                <c:pt idx="3">
                  <c:v>2023 прогноз</c:v>
                </c:pt>
                <c:pt idx="4">
                  <c:v>2024 прогноз</c:v>
                </c:pt>
                <c:pt idx="5">
                  <c:v>2025 прогноз</c:v>
                </c:pt>
              </c:strCache>
            </c:strRef>
          </c:cat>
          <c:val>
            <c:numRef>
              <c:f>Лист1!$B$2:$B$7</c:f>
              <c:numCache>
                <c:formatCode>#,##0.00</c:formatCode>
                <c:ptCount val="6"/>
                <c:pt idx="0">
                  <c:v>18355422.199999999</c:v>
                </c:pt>
                <c:pt idx="1">
                  <c:v>20103437.199999999</c:v>
                </c:pt>
                <c:pt idx="2">
                  <c:v>23291813.690000001</c:v>
                </c:pt>
                <c:pt idx="3">
                  <c:v>25745269.609999999</c:v>
                </c:pt>
                <c:pt idx="4">
                  <c:v>27865021.800000001</c:v>
                </c:pt>
                <c:pt idx="5">
                  <c:v>29830624.91</c:v>
                </c:pt>
              </c:numCache>
            </c:numRef>
          </c:val>
        </c:ser>
        <c:axId val="294926208"/>
        <c:axId val="294927744"/>
      </c:barChart>
      <c:catAx>
        <c:axId val="294926208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b="1"/>
            </a:pPr>
            <a:endParaRPr lang="ru-RU"/>
          </a:p>
        </c:txPr>
        <c:crossAx val="294927744"/>
        <c:crosses val="autoZero"/>
        <c:auto val="1"/>
        <c:lblAlgn val="ctr"/>
        <c:lblOffset val="100"/>
      </c:catAx>
      <c:valAx>
        <c:axId val="294927744"/>
        <c:scaling>
          <c:orientation val="minMax"/>
        </c:scaling>
        <c:axPos val="l"/>
        <c:majorGridlines/>
        <c:numFmt formatCode="#,##0.00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294926208"/>
        <c:crosses val="autoZero"/>
        <c:crossBetween val="between"/>
      </c:valAx>
      <c:spPr>
        <a:solidFill>
          <a:srgbClr val="E5EC86"/>
        </a:solidFill>
        <a:ln>
          <a:solidFill>
            <a:srgbClr val="4F81BD">
              <a:lumMod val="40000"/>
              <a:lumOff val="60000"/>
            </a:srgbClr>
          </a:solidFill>
        </a:ln>
      </c:spPr>
    </c:plotArea>
    <c:plotVisOnly val="1"/>
    <c:dispBlanksAs val="gap"/>
  </c:chart>
  <c:spPr>
    <a:solidFill>
      <a:sysClr val="window" lastClr="FFFFFF"/>
    </a:solidFill>
    <a:ln>
      <a:gradFill>
        <a:gsLst>
          <a:gs pos="0">
            <a:srgbClr val="9BBB59">
              <a:lumMod val="60000"/>
              <a:lumOff val="40000"/>
            </a:srgbClr>
          </a:gs>
          <a:gs pos="64999">
            <a:srgbClr val="F0EBD5"/>
          </a:gs>
          <a:gs pos="100000">
            <a:srgbClr val="D1C39F"/>
          </a:gs>
        </a:gsLst>
        <a:lin ang="5400000" scaled="0"/>
      </a:gradFill>
    </a:ln>
  </c:spPr>
  <c:txPr>
    <a:bodyPr/>
    <a:lstStyle/>
    <a:p>
      <a:pPr>
        <a:defRPr sz="996" b="0" i="0" u="none" strike="noStrike" baseline="0">
          <a:solidFill>
            <a:srgbClr val="000000"/>
          </a:solidFill>
          <a:latin typeface="Times New Roman" pitchFamily="18" charset="0"/>
          <a:ea typeface="Calibri"/>
          <a:cs typeface="Times New Roman" pitchFamily="18" charset="0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среднесписочной численности работников организаций, чел.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023007408884019"/>
          <c:y val="4.3235504652827505E-3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194143184965E-2"/>
          <c:y val="0.15382117315880589"/>
          <c:w val="0.89249614238471753"/>
          <c:h val="0.756591368073693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0950296807681139E-2"/>
                  <c:y val="-1.6278994252562545E-2"/>
                </c:manualLayout>
              </c:layout>
              <c:showVal val="1"/>
            </c:dLbl>
            <c:dLbl>
              <c:idx val="1"/>
              <c:layout>
                <c:manualLayout>
                  <c:x val="1.3141149519014961E-2"/>
                  <c:y val="-2.7734181919204001E-2"/>
                </c:manualLayout>
              </c:layout>
              <c:showVal val="1"/>
            </c:dLbl>
            <c:dLbl>
              <c:idx val="2"/>
              <c:layout>
                <c:manualLayout>
                  <c:x val="1.7520957800861957E-2"/>
                  <c:y val="-2.009739014144300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14545</c:v>
                </c:pt>
                <c:pt idx="1">
                  <c:v>15556</c:v>
                </c:pt>
                <c:pt idx="2">
                  <c:v>15664</c:v>
                </c:pt>
                <c:pt idx="3">
                  <c:v>15743</c:v>
                </c:pt>
                <c:pt idx="4">
                  <c:v>15823</c:v>
                </c:pt>
                <c:pt idx="5">
                  <c:v>15903</c:v>
                </c:pt>
              </c:numCache>
            </c:numRef>
          </c:val>
        </c:ser>
        <c:shape val="cylinder"/>
        <c:axId val="185197312"/>
        <c:axId val="219156864"/>
        <c:axId val="0"/>
      </c:bar3DChart>
      <c:catAx>
        <c:axId val="18519731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19156864"/>
        <c:crosses val="autoZero"/>
        <c:auto val="1"/>
        <c:lblAlgn val="ctr"/>
        <c:lblOffset val="100"/>
      </c:catAx>
      <c:valAx>
        <c:axId val="21915686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85197312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1311633748961612"/>
          <c:y val="0.12267162256891817"/>
          <c:w val="0.71909727690288794"/>
          <c:h val="0.6641900197257959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 в экономике, чел.</c:v>
                </c:pt>
              </c:strCache>
            </c:strRef>
          </c:tx>
          <c:dLbls>
            <c:numFmt formatCode="#,##0" sourceLinked="0"/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2024 год</c:v>
                </c:pt>
                <c:pt idx="5">
                  <c:v>2025 год</c:v>
                </c:pt>
              </c:strCache>
            </c:strRef>
          </c:cat>
          <c:val>
            <c:numRef>
              <c:f>Лист1!$B$2:$B$7</c:f>
              <c:numCache>
                <c:formatCode>#,##0</c:formatCode>
                <c:ptCount val="6"/>
                <c:pt idx="0">
                  <c:v>14545</c:v>
                </c:pt>
                <c:pt idx="1">
                  <c:v>15556</c:v>
                </c:pt>
                <c:pt idx="2">
                  <c:v>15664</c:v>
                </c:pt>
                <c:pt idx="3">
                  <c:v>15743</c:v>
                </c:pt>
                <c:pt idx="4">
                  <c:v>15823</c:v>
                </c:pt>
                <c:pt idx="5">
                  <c:v>15903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населения, чел.</c:v>
                </c:pt>
              </c:strCache>
            </c:strRef>
          </c:tx>
          <c:dLbls>
            <c:dLbl>
              <c:idx val="0"/>
              <c:layout>
                <c:manualLayout>
                  <c:x val="1.796586485677214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2.3954486475696188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2.3954486475696177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7965864856772141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9962072063080868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1.9962072063080868E-2"/>
                  <c:y val="-3.256963105019365E-3"/>
                </c:manualLayout>
              </c:layout>
              <c:showVal val="1"/>
            </c:dLbl>
            <c:numFmt formatCode="#,##0" sourceLinked="0"/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2024 год</c:v>
                </c:pt>
                <c:pt idx="5">
                  <c:v>2025 год</c:v>
                </c:pt>
              </c:strCache>
            </c:strRef>
          </c:cat>
          <c:val>
            <c:numRef>
              <c:f>Лист1!$C$2:$C$7</c:f>
              <c:numCache>
                <c:formatCode>#,##0</c:formatCode>
                <c:ptCount val="6"/>
                <c:pt idx="0">
                  <c:v>10131</c:v>
                </c:pt>
                <c:pt idx="1">
                  <c:v>9892</c:v>
                </c:pt>
                <c:pt idx="2">
                  <c:v>9659</c:v>
                </c:pt>
                <c:pt idx="3">
                  <c:v>9647</c:v>
                </c:pt>
                <c:pt idx="4">
                  <c:v>9632</c:v>
                </c:pt>
                <c:pt idx="5">
                  <c:v>9616</c:v>
                </c:pt>
              </c:numCache>
            </c:numRef>
          </c:val>
        </c:ser>
        <c:shape val="cylinder"/>
        <c:axId val="228891264"/>
        <c:axId val="229280384"/>
        <c:axId val="0"/>
      </c:bar3DChart>
      <c:catAx>
        <c:axId val="2288912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9280384"/>
        <c:crosses val="autoZero"/>
        <c:auto val="1"/>
        <c:lblAlgn val="ctr"/>
        <c:lblOffset val="100"/>
      </c:catAx>
      <c:valAx>
        <c:axId val="229280384"/>
        <c:scaling>
          <c:orientation val="minMax"/>
        </c:scaling>
        <c:axPos val="l"/>
        <c:majorGridlines/>
        <c:numFmt formatCode="#,##0.00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8891264"/>
        <c:crosses val="autoZero"/>
        <c:crossBetween val="between"/>
      </c:valAx>
      <c:spPr>
        <a:noFill/>
        <a:ln w="25436">
          <a:noFill/>
        </a:ln>
      </c:spPr>
    </c:plotArea>
    <c:legend>
      <c:legendPos val="r"/>
      <c:layout>
        <c:manualLayout>
          <c:xMode val="edge"/>
          <c:yMode val="edge"/>
          <c:x val="0.83344422572178478"/>
          <c:y val="0.24856034300060334"/>
          <c:w val="0.15215108267716554"/>
          <c:h val="0.64487812229212982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/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Объем отгруженной продукции организаций Северо-Енисейского района (по чистым видам деятельности), </a:t>
            </a:r>
            <a:r>
              <a:rPr lang="ru-RU" sz="1000" baseline="0">
                <a:latin typeface="Times New Roman" pitchFamily="18" charset="0"/>
                <a:cs typeface="Times New Roman" pitchFamily="18" charset="0"/>
              </a:rPr>
              <a:t>млн.руб.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650385113199956"/>
          <c:y val="2.863362403659667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1858431114600353"/>
          <c:y val="0.21106100609460626"/>
          <c:w val="0.87105805576128614"/>
          <c:h val="0.5720072490938632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8.2391133711145915E-3"/>
                  <c:y val="0.11195702099737485"/>
                </c:manualLayout>
              </c:layout>
              <c:showVal val="1"/>
            </c:dLbl>
            <c:dLbl>
              <c:idx val="1"/>
              <c:layout>
                <c:manualLayout>
                  <c:x val="1.1640417897398512E-4"/>
                  <c:y val="-2.5492399387576775E-2"/>
                </c:manualLayout>
              </c:layout>
              <c:showVal val="1"/>
            </c:dLbl>
            <c:dLbl>
              <c:idx val="2"/>
              <c:layout>
                <c:manualLayout>
                  <c:x val="8.6526040398327876E-3"/>
                  <c:y val="0.12435613517060369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2.7777777777778269E-2"/>
                </c:manualLayout>
              </c:layout>
              <c:showVal val="1"/>
            </c:dLbl>
            <c:dLbl>
              <c:idx val="4"/>
              <c:layout>
                <c:manualLayout>
                  <c:x val="6.0920318941054576E-3"/>
                  <c:y val="0.1041666666666673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2.0833333333333565E-2"/>
                </c:manualLayout>
              </c:layout>
              <c:showVal val="1"/>
            </c:dLbl>
            <c:dLbl>
              <c:idx val="6"/>
              <c:layout>
                <c:manualLayout>
                  <c:x val="6.0920318941054576E-3"/>
                  <c:y val="0.10763888888888892"/>
                </c:manualLayout>
              </c:layout>
              <c:showVal val="1"/>
            </c:dLbl>
            <c:dLbl>
              <c:idx val="7"/>
              <c:layout>
                <c:manualLayout>
                  <c:x val="1.0153386490175758E-2"/>
                  <c:y val="-1.7361111111111285E-2"/>
                </c:manualLayout>
              </c:layout>
              <c:showVal val="1"/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2018 отчет</c:v>
                </c:pt>
                <c:pt idx="1">
                  <c:v>2019 отчет </c:v>
                </c:pt>
                <c:pt idx="2">
                  <c:v>2020 отчет</c:v>
                </c:pt>
                <c:pt idx="3">
                  <c:v>2021 отчет</c:v>
                </c:pt>
                <c:pt idx="4">
                  <c:v>2022 оценка</c:v>
                </c:pt>
                <c:pt idx="5">
                  <c:v>2023 прогноз</c:v>
                </c:pt>
                <c:pt idx="6">
                  <c:v>2024 прогноз</c:v>
                </c:pt>
                <c:pt idx="7">
                  <c:v>2025 прогноз</c:v>
                </c:pt>
              </c:strCache>
            </c:strRef>
          </c:cat>
          <c:val>
            <c:numRef>
              <c:f>Лист1!$B$2:$B$9</c:f>
              <c:numCache>
                <c:formatCode>#,##0.00</c:formatCode>
                <c:ptCount val="8"/>
                <c:pt idx="0">
                  <c:v>157949.9</c:v>
                </c:pt>
                <c:pt idx="1">
                  <c:v>184559.3</c:v>
                </c:pt>
                <c:pt idx="2">
                  <c:v>242632.14</c:v>
                </c:pt>
                <c:pt idx="3">
                  <c:v>251059.93099999998</c:v>
                </c:pt>
                <c:pt idx="4">
                  <c:v>276307.21899999987</c:v>
                </c:pt>
                <c:pt idx="5">
                  <c:v>291257.06599999999</c:v>
                </c:pt>
                <c:pt idx="6">
                  <c:v>309992.4830000014</c:v>
                </c:pt>
                <c:pt idx="7">
                  <c:v>328226.962</c:v>
                </c:pt>
              </c:numCache>
            </c:numRef>
          </c:val>
        </c:ser>
        <c:shape val="cylinder"/>
        <c:axId val="246066176"/>
        <c:axId val="246100736"/>
        <c:axId val="0"/>
      </c:bar3DChart>
      <c:catAx>
        <c:axId val="246066176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46100736"/>
        <c:crosses val="autoZero"/>
        <c:auto val="1"/>
        <c:lblAlgn val="ctr"/>
        <c:lblOffset val="100"/>
      </c:catAx>
      <c:valAx>
        <c:axId val="246100736"/>
        <c:scaling>
          <c:orientation val="minMax"/>
        </c:scaling>
        <c:axPos val="l"/>
        <c:majorGridlines/>
        <c:numFmt formatCode="#,##0.00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4606617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Объем добычи золота, тонн</a:t>
            </a:r>
          </a:p>
        </c:rich>
      </c:tx>
      <c:layout>
        <c:manualLayout>
          <c:xMode val="edge"/>
          <c:yMode val="edge"/>
          <c:x val="0.35976308425023035"/>
          <c:y val="3.2552668884303915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0390919678086684E-2"/>
          <c:y val="0.21371099445902625"/>
          <c:w val="0.90870452451721651"/>
          <c:h val="0.5326540064844849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1.2738853503184714E-2"/>
                  <c:y val="-3.968253968253968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5.1587301587301577E-2"/>
                </c:manualLayout>
              </c:layout>
              <c:showVal val="1"/>
            </c:dLbl>
            <c:dLbl>
              <c:idx val="2"/>
              <c:layout>
                <c:manualLayout>
                  <c:x val="6.3694267515923934E-3"/>
                  <c:y val="-4.7619047619047623E-2"/>
                </c:manualLayout>
              </c:layout>
              <c:showVal val="1"/>
            </c:dLbl>
            <c:dLbl>
              <c:idx val="3"/>
              <c:layout>
                <c:manualLayout>
                  <c:x val="7.7847649883449131E-17"/>
                  <c:y val="-5.1587301587301577E-2"/>
                </c:manualLayout>
              </c:layout>
              <c:showVal val="1"/>
            </c:dLbl>
            <c:dLbl>
              <c:idx val="4"/>
              <c:layout>
                <c:manualLayout>
                  <c:x val="1.3708877412768036E-2"/>
                  <c:y val="-2.4925562265059209E-2"/>
                </c:manualLayout>
              </c:layout>
              <c:showVal val="1"/>
            </c:dLbl>
            <c:dLbl>
              <c:idx val="5"/>
              <c:layout>
                <c:manualLayout>
                  <c:x val="7.9800498753119717E-3"/>
                  <c:y val="-2.8769848292852136E-2"/>
                </c:manualLayout>
              </c:layout>
              <c:showVal val="1"/>
            </c:dLbl>
            <c:numFmt formatCode="General" sourceLinked="0"/>
            <c:txPr>
              <a:bodyPr/>
              <a:lstStyle/>
              <a:p>
                <a:pPr>
                  <a:defRPr sz="1000" b="1" baseline="0"/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2018 отчет</c:v>
                </c:pt>
                <c:pt idx="1">
                  <c:v>2019 отчет</c:v>
                </c:pt>
                <c:pt idx="2">
                  <c:v>2020 отчет </c:v>
                </c:pt>
                <c:pt idx="3">
                  <c:v>2021 отчет</c:v>
                </c:pt>
                <c:pt idx="4">
                  <c:v>2022 оценка</c:v>
                </c:pt>
                <c:pt idx="5">
                  <c:v>2023 прогноз </c:v>
                </c:pt>
                <c:pt idx="6">
                  <c:v>2024 прогноз </c:v>
                </c:pt>
                <c:pt idx="7">
                  <c:v>2025 прогноз </c:v>
                </c:pt>
              </c:strCache>
            </c:strRef>
          </c:cat>
          <c:val>
            <c:numRef>
              <c:f>Лист1!$B$2:$B$9</c:f>
              <c:numCache>
                <c:formatCode>#,##0.0</c:formatCode>
                <c:ptCount val="8"/>
                <c:pt idx="0">
                  <c:v>61.426000000000002</c:v>
                </c:pt>
                <c:pt idx="1">
                  <c:v>63.501000000000005</c:v>
                </c:pt>
                <c:pt idx="2">
                  <c:v>57.534000000000006</c:v>
                </c:pt>
                <c:pt idx="3">
                  <c:v>53.671000000000006</c:v>
                </c:pt>
                <c:pt idx="4">
                  <c:v>58.096000000000011</c:v>
                </c:pt>
                <c:pt idx="5">
                  <c:v>59.593000000000011</c:v>
                </c:pt>
                <c:pt idx="6">
                  <c:v>61.882999999999996</c:v>
                </c:pt>
                <c:pt idx="7">
                  <c:v>62.01</c:v>
                </c:pt>
              </c:numCache>
            </c:numRef>
          </c:val>
        </c:ser>
        <c:shape val="cylinder"/>
        <c:axId val="287680768"/>
        <c:axId val="287730688"/>
        <c:axId val="0"/>
      </c:bar3DChart>
      <c:catAx>
        <c:axId val="28768076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87730688"/>
        <c:crosses val="autoZero"/>
        <c:auto val="1"/>
        <c:lblAlgn val="ctr"/>
        <c:lblOffset val="100"/>
      </c:catAx>
      <c:valAx>
        <c:axId val="287730688"/>
        <c:scaling>
          <c:orientation val="minMax"/>
        </c:scaling>
        <c:axPos val="l"/>
        <c:majorGridlines/>
        <c:numFmt formatCode="#,##0.0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87680768"/>
        <c:crosses val="autoZero"/>
        <c:crossBetween val="between"/>
      </c:valAx>
    </c:plotArea>
    <c:plotVisOnly val="1"/>
  </c:chart>
  <c:spPr>
    <a:noFill/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 b="1" i="0" u="none" strike="noStrike" baseline="0"/>
              <a:t>Динамика среднесписочной численности работников у индивидуальных предпринимателей, чел</a:t>
            </a:r>
            <a:endParaRPr lang="ru-RU" sz="1000"/>
          </a:p>
        </c:rich>
      </c:tx>
    </c:title>
    <c:view3D>
      <c:depthPercent val="100"/>
      <c:rAngAx val="1"/>
    </c:view3D>
    <c:sideWall>
      <c:spPr>
        <a:solidFill>
          <a:schemeClr val="accent1">
            <a:lumMod val="20000"/>
            <a:lumOff val="80000"/>
          </a:schemeClr>
        </a:solidFill>
      </c:spPr>
    </c:sideWall>
    <c:backWall>
      <c:spPr>
        <a:solidFill>
          <a:schemeClr val="accent1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Лист1!$B$6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1.4250408857695079E-2"/>
                  <c:y val="-1.0331385284202741E-2"/>
                </c:manualLayout>
              </c:layout>
              <c:showVal val="1"/>
            </c:dLbl>
            <c:dLbl>
              <c:idx val="1"/>
              <c:layout>
                <c:manualLayout>
                  <c:x val="1.4250408857695126E-2"/>
                  <c:y val="-4.6491233778911803E-2"/>
                </c:manualLayout>
              </c:layout>
              <c:showVal val="1"/>
            </c:dLbl>
            <c:dLbl>
              <c:idx val="2"/>
              <c:layout>
                <c:manualLayout>
                  <c:x val="1.6625477000644283E-2"/>
                  <c:y val="-2.5828463210506438E-2"/>
                </c:manualLayout>
              </c:layout>
              <c:showVal val="1"/>
            </c:dLbl>
            <c:dLbl>
              <c:idx val="3"/>
              <c:layout>
                <c:manualLayout>
                  <c:x val="1.4250408857695079E-2"/>
                  <c:y val="-3.0994155852607744E-2"/>
                </c:manualLayout>
              </c:layout>
              <c:showVal val="1"/>
            </c:dLbl>
            <c:dLbl>
              <c:idx val="4"/>
              <c:layout>
                <c:manualLayout>
                  <c:x val="9.5002725717967546E-3"/>
                  <c:y val="-4.132554113681032E-2"/>
                </c:manualLayout>
              </c:layout>
              <c:showVal val="1"/>
            </c:dLbl>
            <c:dLbl>
              <c:idx val="5"/>
              <c:layout>
                <c:manualLayout>
                  <c:x val="9.5002725717967546E-3"/>
                  <c:y val="-4.132554113681032E-2"/>
                </c:manualLayout>
              </c:layout>
              <c:showVal val="1"/>
            </c:dLbl>
            <c:dLbl>
              <c:idx val="6"/>
              <c:layout>
                <c:manualLayout>
                  <c:x val="2.1375613286542652E-2"/>
                  <c:y val="-3.0994155852607744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Лист1!$A$7:$A$11</c:f>
              <c:strCache>
                <c:ptCount val="5"/>
                <c:pt idx="0">
                  <c:v>2021 
отчет</c:v>
                </c:pt>
                <c:pt idx="1">
                  <c:v>2022
оценка</c:v>
                </c:pt>
                <c:pt idx="2">
                  <c:v>2023 
прогноз</c:v>
                </c:pt>
                <c:pt idx="3">
                  <c:v>2024
 прогноз</c:v>
                </c:pt>
                <c:pt idx="4">
                  <c:v>2025 
прогноз</c:v>
                </c:pt>
              </c:strCache>
            </c:strRef>
          </c:cat>
          <c:val>
            <c:numRef>
              <c:f>Лист1!$B$7:$B$11</c:f>
              <c:numCache>
                <c:formatCode>0</c:formatCode>
                <c:ptCount val="5"/>
                <c:pt idx="0">
                  <c:v>82</c:v>
                </c:pt>
                <c:pt idx="1">
                  <c:v>86</c:v>
                </c:pt>
                <c:pt idx="2">
                  <c:v>88</c:v>
                </c:pt>
                <c:pt idx="3">
                  <c:v>88</c:v>
                </c:pt>
                <c:pt idx="4">
                  <c:v>91</c:v>
                </c:pt>
              </c:numCache>
            </c:numRef>
          </c:val>
        </c:ser>
        <c:shape val="cylinder"/>
        <c:axId val="288128384"/>
        <c:axId val="288138368"/>
        <c:axId val="0"/>
      </c:bar3DChart>
      <c:catAx>
        <c:axId val="28812838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138368"/>
        <c:crosses val="autoZero"/>
        <c:auto val="1"/>
        <c:lblAlgn val="ctr"/>
        <c:lblOffset val="100"/>
      </c:catAx>
      <c:valAx>
        <c:axId val="288138368"/>
        <c:scaling>
          <c:orientation val="minMax"/>
          <c:max val="100"/>
        </c:scaling>
        <c:axPos val="l"/>
        <c:majorGridlines/>
        <c:numFmt formatCode="General" sourceLinked="0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128384"/>
        <c:crosses val="autoZero"/>
        <c:crossBetween val="between"/>
      </c:valAx>
      <c:spPr>
        <a:noFill/>
        <a:ln w="44839">
          <a:noFill/>
        </a:ln>
      </c:spPr>
    </c:plotArea>
    <c:plotVisOnly val="1"/>
    <c:dispBlanksAs val="gap"/>
  </c:chart>
  <c:spPr>
    <a:noFill/>
  </c:spPr>
  <c:externalData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r>
              <a:rPr lang="ru-RU" sz="1000"/>
              <a:t>Доля среднесписочной численности работников (без внешних совместителей) малых и средних предприятий в среднесписочной численности работников</a:t>
            </a:r>
            <a:r>
              <a:rPr lang="ru-RU" sz="1000" baseline="0"/>
              <a:t> (без внешних совместителе) всех предприятий и организаций, %</a:t>
            </a:r>
            <a:endParaRPr lang="ru-RU" sz="1000"/>
          </a:p>
        </c:rich>
      </c:tx>
    </c:title>
    <c:view3D>
      <c:depthPercent val="100"/>
      <c:rAngAx val="1"/>
    </c:view3D>
    <c:sideWall>
      <c:spPr>
        <a:solidFill>
          <a:schemeClr val="accent1">
            <a:lumMod val="20000"/>
            <a:lumOff val="80000"/>
          </a:schemeClr>
        </a:solidFill>
      </c:spPr>
    </c:sideWall>
    <c:backWall>
      <c:spPr>
        <a:solidFill>
          <a:schemeClr val="accent1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6.851505212830393E-2"/>
          <c:y val="0.30259817522809657"/>
          <c:w val="0.91103872068481562"/>
          <c:h val="0.4690658667666542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Лист1!$B$6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1.4250408857695079E-2"/>
                  <c:y val="-1.0331385284202741E-2"/>
                </c:manualLayout>
              </c:layout>
              <c:showVal val="1"/>
            </c:dLbl>
            <c:dLbl>
              <c:idx val="1"/>
              <c:layout>
                <c:manualLayout>
                  <c:x val="1.4250408857695126E-2"/>
                  <c:y val="-4.6491233778911803E-2"/>
                </c:manualLayout>
              </c:layout>
              <c:showVal val="1"/>
            </c:dLbl>
            <c:dLbl>
              <c:idx val="2"/>
              <c:layout>
                <c:manualLayout>
                  <c:x val="1.6625477000644283E-2"/>
                  <c:y val="-2.5828463210506438E-2"/>
                </c:manualLayout>
              </c:layout>
              <c:showVal val="1"/>
            </c:dLbl>
            <c:dLbl>
              <c:idx val="3"/>
              <c:layout>
                <c:manualLayout>
                  <c:x val="1.4250408857695079E-2"/>
                  <c:y val="-3.0994155852607744E-2"/>
                </c:manualLayout>
              </c:layout>
              <c:showVal val="1"/>
            </c:dLbl>
            <c:dLbl>
              <c:idx val="4"/>
              <c:layout>
                <c:manualLayout>
                  <c:x val="9.5002725717967546E-3"/>
                  <c:y val="-4.132554113681032E-2"/>
                </c:manualLayout>
              </c:layout>
              <c:showVal val="1"/>
            </c:dLbl>
            <c:dLbl>
              <c:idx val="5"/>
              <c:layout>
                <c:manualLayout>
                  <c:x val="9.5002725717967546E-3"/>
                  <c:y val="-4.132554113681032E-2"/>
                </c:manualLayout>
              </c:layout>
              <c:showVal val="1"/>
            </c:dLbl>
            <c:dLbl>
              <c:idx val="6"/>
              <c:layout>
                <c:manualLayout>
                  <c:x val="2.1375613286542652E-2"/>
                  <c:y val="-3.0994155852607744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Лист1!$A$7:$A$11</c:f>
              <c:strCache>
                <c:ptCount val="5"/>
                <c:pt idx="0">
                  <c:v>2021 
отчет</c:v>
                </c:pt>
                <c:pt idx="1">
                  <c:v>2022
оценка</c:v>
                </c:pt>
                <c:pt idx="2">
                  <c:v>2023 
прогноз</c:v>
                </c:pt>
                <c:pt idx="3">
                  <c:v>2024
 прогноз</c:v>
                </c:pt>
                <c:pt idx="4">
                  <c:v>2025
прогноз</c:v>
                </c:pt>
              </c:strCache>
            </c:strRef>
          </c:cat>
          <c:val>
            <c:numRef>
              <c:f>Лист1!$B$7:$B$11</c:f>
              <c:numCache>
                <c:formatCode>0.00</c:formatCode>
                <c:ptCount val="5"/>
                <c:pt idx="0">
                  <c:v>2.61</c:v>
                </c:pt>
                <c:pt idx="1">
                  <c:v>2.71</c:v>
                </c:pt>
                <c:pt idx="2">
                  <c:v>2.75</c:v>
                </c:pt>
                <c:pt idx="3">
                  <c:v>2.75</c:v>
                </c:pt>
                <c:pt idx="4">
                  <c:v>2.7800000000000002</c:v>
                </c:pt>
              </c:numCache>
            </c:numRef>
          </c:val>
        </c:ser>
        <c:shape val="cylinder"/>
        <c:axId val="285975680"/>
        <c:axId val="285977216"/>
        <c:axId val="0"/>
      </c:bar3DChart>
      <c:catAx>
        <c:axId val="28597568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5977216"/>
        <c:crosses val="autoZero"/>
        <c:auto val="1"/>
        <c:lblAlgn val="ctr"/>
        <c:lblOffset val="100"/>
      </c:catAx>
      <c:valAx>
        <c:axId val="285977216"/>
        <c:scaling>
          <c:orientation val="minMax"/>
        </c:scaling>
        <c:axPos val="l"/>
        <c:majorGridlines/>
        <c:numFmt formatCode="0.00" sourceLinked="1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5975680"/>
        <c:crosses val="autoZero"/>
        <c:crossBetween val="between"/>
      </c:valAx>
      <c:spPr>
        <a:noFill/>
        <a:ln w="44839">
          <a:noFill/>
        </a:ln>
      </c:spPr>
    </c:plotArea>
    <c:plotVisOnly val="1"/>
    <c:dispBlanksAs val="gap"/>
  </c:chart>
  <c:spPr>
    <a:noFill/>
  </c:spPr>
  <c:externalData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000"/>
              <a:t>Оборот организаций малого бизнеса (юридических лиц),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000"/>
              <a:t>тыс. руб.</a:t>
            </a:r>
          </a:p>
        </c:rich>
      </c:tx>
      <c:layout>
        <c:manualLayout>
          <c:xMode val="edge"/>
          <c:yMode val="edge"/>
          <c:x val="0.22919974373282098"/>
          <c:y val="3.292314124451258E-2"/>
        </c:manualLayout>
      </c:layout>
      <c:spPr>
        <a:noFill/>
        <a:ln w="42302">
          <a:noFill/>
        </a:ln>
      </c:spPr>
    </c:title>
    <c:plotArea>
      <c:layout>
        <c:manualLayout>
          <c:layoutTarget val="inner"/>
          <c:xMode val="edge"/>
          <c:yMode val="edge"/>
          <c:x val="0.13167454068241469"/>
          <c:y val="0.18580540264325371"/>
          <c:w val="0.90229007633590064"/>
          <c:h val="0.6555380383251033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Среднемесячная заработная плата работников списочного состава организаций малого бизнеса (юридических лиц) руб.</c:v>
                </c:pt>
              </c:strCache>
            </c:strRef>
          </c:tx>
          <c:spPr>
            <a:ln w="63452">
              <a:solidFill>
                <a:srgbClr val="000080"/>
              </a:solidFill>
              <a:prstDash val="solid"/>
            </a:ln>
          </c:spPr>
          <c:marker>
            <c:symbol val="diamond"/>
            <c:size val="1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5403591119326573E-2"/>
                  <c:y val="8.9101644693064627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7.2506051549627124E-2"/>
                  <c:y val="-6.903430997096156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4000058532414889E-2"/>
                  <c:y val="8.7202314527059968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6.7433389411330494E-2"/>
                  <c:y val="-9.0968074476980257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8514810024174196E-2"/>
                  <c:y val="8.1378946897301199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6.290964637182471E-2"/>
                  <c:y val="-8.0565788914047268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0348096114694439E-3"/>
                  <c:y val="4.5274130086660695E-2"/>
                </c:manualLayout>
              </c:layout>
              <c:dLblPos val="r"/>
              <c:showVal val="1"/>
            </c:dLbl>
            <c:numFmt formatCode="General" sourceLinked="0"/>
            <c:spPr>
              <a:noFill/>
              <a:ln w="42302">
                <a:noFill/>
              </a:ln>
            </c:spPr>
            <c:txPr>
              <a:bodyPr/>
              <a:lstStyle/>
              <a:p>
                <a:pPr>
                  <a:defRPr sz="105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5"/>
                <c:pt idx="0">
                  <c:v>2021 Отчет</c:v>
                </c:pt>
                <c:pt idx="1">
                  <c:v>2022 Оценка</c:v>
                </c:pt>
                <c:pt idx="2">
                  <c:v>2023 Прогноз</c:v>
                </c:pt>
                <c:pt idx="3">
                  <c:v>2024 Прогноз</c:v>
                </c:pt>
                <c:pt idx="4">
                  <c:v>2025 Прогноз</c:v>
                </c:pt>
              </c:strCache>
            </c:strRef>
          </c:cat>
          <c:val>
            <c:numRef>
              <c:f>Sheet1!$B$2:$G$2</c:f>
              <c:numCache>
                <c:formatCode>0.00</c:formatCode>
                <c:ptCount val="5"/>
                <c:pt idx="0">
                  <c:v>118922.43999999999</c:v>
                </c:pt>
                <c:pt idx="1">
                  <c:v>140800.18</c:v>
                </c:pt>
                <c:pt idx="2">
                  <c:v>154630.25</c:v>
                </c:pt>
                <c:pt idx="3">
                  <c:v>162008.28</c:v>
                </c:pt>
                <c:pt idx="4">
                  <c:v>168526.01</c:v>
                </c:pt>
              </c:numCache>
            </c:numRef>
          </c:val>
        </c:ser>
        <c:marker val="1"/>
        <c:axId val="288311552"/>
        <c:axId val="288350208"/>
      </c:lineChart>
      <c:catAx>
        <c:axId val="288311552"/>
        <c:scaling>
          <c:orientation val="minMax"/>
        </c:scaling>
        <c:axPos val="b"/>
        <c:numFmt formatCode="General" sourceLinked="1"/>
        <c:tickLblPos val="nextTo"/>
        <c:spPr>
          <a:ln w="52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88350208"/>
        <c:crosses val="autoZero"/>
        <c:auto val="1"/>
        <c:lblAlgn val="ctr"/>
        <c:lblOffset val="100"/>
        <c:tickLblSkip val="1"/>
        <c:tickMarkSkip val="1"/>
      </c:catAx>
      <c:valAx>
        <c:axId val="288350208"/>
        <c:scaling>
          <c:orientation val="minMax"/>
        </c:scaling>
        <c:axPos val="l"/>
        <c:majorGridlines>
          <c:spPr>
            <a:ln w="5287">
              <a:solidFill>
                <a:srgbClr val="000000"/>
              </a:solidFill>
              <a:prstDash val="solid"/>
            </a:ln>
          </c:spPr>
        </c:majorGridlines>
        <c:numFmt formatCode="0.00" sourceLinked="1"/>
        <c:tickLblPos val="nextTo"/>
        <c:spPr>
          <a:ln w="52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88311552"/>
        <c:crosses val="autoZero"/>
        <c:crossBetween val="between"/>
        <c:majorUnit val="30000"/>
      </c:valAx>
      <c:spPr>
        <a:solidFill>
          <a:schemeClr val="accent1">
            <a:lumMod val="20000"/>
            <a:lumOff val="80000"/>
          </a:schemeClr>
        </a:solidFill>
        <a:ln w="21149">
          <a:solidFill>
            <a:srgbClr val="808080"/>
          </a:solidFill>
          <a:prstDash val="solid"/>
        </a:ln>
      </c:spPr>
    </c:plotArea>
    <c:plotVisOnly val="1"/>
    <c:dispBlanksAs val="gap"/>
  </c:chart>
  <c:spPr>
    <a:noFill/>
    <a:ln>
      <a:solidFill>
        <a:sysClr val="windowText" lastClr="000000"/>
      </a:solidFill>
    </a:ln>
  </c:spPr>
  <c:txPr>
    <a:bodyPr/>
    <a:lstStyle/>
    <a:p>
      <a:pPr>
        <a:defRPr sz="199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9C29F-CD5A-454B-A6E6-66BAF8C5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21</Pages>
  <Words>5822</Words>
  <Characters>33189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38934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</dc:creator>
  <cp:lastModifiedBy>SMA</cp:lastModifiedBy>
  <cp:revision>8</cp:revision>
  <cp:lastPrinted>2023-01-27T09:13:00Z</cp:lastPrinted>
  <dcterms:created xsi:type="dcterms:W3CDTF">2023-01-27T08:07:00Z</dcterms:created>
  <dcterms:modified xsi:type="dcterms:W3CDTF">2023-01-27T10:29:00Z</dcterms:modified>
</cp:coreProperties>
</file>